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3616B7">
      <w:pPr>
        <w:jc w:val="center"/>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采购需求</w:t>
      </w:r>
    </w:p>
    <w:p w14:paraId="0551A5A7">
      <w:pPr>
        <w:keepNext w:val="0"/>
        <w:keepLines w:val="0"/>
        <w:widowControl/>
        <w:suppressLineNumbers w:val="0"/>
        <w:jc w:val="left"/>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项目名称：琼海市职业中等专业学校教学设备采购的采购项目</w:t>
      </w:r>
    </w:p>
    <w:p w14:paraId="4E045926">
      <w:pPr>
        <w:keepNext w:val="0"/>
        <w:keepLines w:val="0"/>
        <w:widowControl/>
        <w:suppressLineNumbers w:val="0"/>
        <w:jc w:val="left"/>
        <w:textAlignment w:val="center"/>
        <w:rPr>
          <w:rFonts w:hint="default"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项目编号：HNJY2025-56-18</w:t>
      </w:r>
    </w:p>
    <w:p w14:paraId="33770D7A">
      <w:pPr>
        <w:keepNext w:val="0"/>
        <w:keepLines w:val="0"/>
        <w:widowControl/>
        <w:suppressLineNumbers w:val="0"/>
        <w:jc w:val="left"/>
        <w:rPr>
          <w:rFonts w:hint="eastAsia" w:ascii="宋体" w:hAnsi="宋体" w:cs="宋体"/>
          <w:b/>
          <w:bCs/>
          <w:i w:val="0"/>
          <w:iCs w:val="0"/>
          <w:color w:val="auto"/>
          <w:kern w:val="0"/>
          <w:sz w:val="24"/>
          <w:szCs w:val="24"/>
          <w:u w:val="none"/>
          <w:lang w:val="en-US" w:eastAsia="zh-CN" w:bidi="ar"/>
        </w:rPr>
      </w:pPr>
      <w:r>
        <w:rPr>
          <w:rFonts w:hint="eastAsia" w:ascii="宋体" w:hAnsi="宋体" w:cs="宋体"/>
          <w:b/>
          <w:bCs/>
          <w:i w:val="0"/>
          <w:iCs w:val="0"/>
          <w:color w:val="auto"/>
          <w:kern w:val="0"/>
          <w:sz w:val="24"/>
          <w:szCs w:val="24"/>
          <w:u w:val="none"/>
          <w:lang w:val="en-US" w:eastAsia="zh-CN" w:bidi="ar"/>
        </w:rPr>
        <w:t>A包：计算机应用专业实训室设备采购</w:t>
      </w:r>
    </w:p>
    <w:p w14:paraId="3030C957">
      <w:pPr>
        <w:keepNext w:val="0"/>
        <w:keepLines w:val="0"/>
        <w:widowControl/>
        <w:suppressLineNumbers w:val="0"/>
        <w:jc w:val="left"/>
        <w:rPr>
          <w:rFonts w:hint="default" w:ascii="宋体" w:hAnsi="宋体" w:cs="宋体"/>
          <w:b/>
          <w:bCs/>
          <w:i w:val="0"/>
          <w:iCs w:val="0"/>
          <w:color w:val="auto"/>
          <w:kern w:val="0"/>
          <w:sz w:val="24"/>
          <w:szCs w:val="24"/>
          <w:u w:val="none"/>
          <w:lang w:val="en-US" w:eastAsia="zh-CN" w:bidi="ar"/>
        </w:rPr>
      </w:pPr>
      <w:r>
        <w:rPr>
          <w:rFonts w:hint="eastAsia" w:ascii="宋体" w:hAnsi="宋体" w:cs="宋体"/>
          <w:b/>
          <w:bCs/>
          <w:i w:val="0"/>
          <w:iCs w:val="0"/>
          <w:color w:val="auto"/>
          <w:kern w:val="0"/>
          <w:sz w:val="24"/>
          <w:szCs w:val="24"/>
          <w:u w:val="none"/>
          <w:lang w:val="en-US" w:eastAsia="zh-CN" w:bidi="ar"/>
        </w:rPr>
        <w:t>核心产品：</w:t>
      </w:r>
      <w:bookmarkStart w:id="0" w:name="_GoBack"/>
      <w:bookmarkEnd w:id="0"/>
      <w:r>
        <w:rPr>
          <w:rFonts w:hint="eastAsia" w:ascii="宋体" w:hAnsi="宋体" w:cs="宋体"/>
          <w:b/>
          <w:bCs/>
          <w:i w:val="0"/>
          <w:iCs w:val="0"/>
          <w:color w:val="auto"/>
          <w:kern w:val="0"/>
          <w:sz w:val="24"/>
          <w:szCs w:val="24"/>
          <w:u w:val="none"/>
          <w:lang w:val="en-US" w:eastAsia="zh-CN" w:bidi="ar"/>
        </w:rPr>
        <w:t>图</w:t>
      </w:r>
      <w:r>
        <w:rPr>
          <w:rFonts w:hint="default" w:ascii="宋体" w:hAnsi="宋体" w:cs="宋体"/>
          <w:b/>
          <w:bCs/>
          <w:i w:val="0"/>
          <w:iCs w:val="0"/>
          <w:color w:val="auto"/>
          <w:kern w:val="0"/>
          <w:sz w:val="24"/>
          <w:szCs w:val="24"/>
          <w:u w:val="none"/>
          <w:lang w:val="en-US" w:eastAsia="zh-CN" w:bidi="ar"/>
        </w:rPr>
        <w:t>形工作站</w:t>
      </w:r>
      <w:r>
        <w:rPr>
          <w:rFonts w:hint="eastAsia" w:ascii="宋体" w:hAnsi="宋体" w:cs="宋体"/>
          <w:b/>
          <w:bCs/>
          <w:i w:val="0"/>
          <w:iCs w:val="0"/>
          <w:color w:val="auto"/>
          <w:kern w:val="0"/>
          <w:sz w:val="24"/>
          <w:szCs w:val="24"/>
          <w:u w:val="none"/>
          <w:lang w:val="en-US" w:eastAsia="zh-CN" w:bidi="ar"/>
        </w:rPr>
        <w:t xml:space="preserve"> </w:t>
      </w:r>
    </w:p>
    <w:tbl>
      <w:tblPr>
        <w:tblStyle w:val="4"/>
        <w:tblW w:w="5000" w:type="pct"/>
        <w:tblInd w:w="0" w:type="dxa"/>
        <w:tblLayout w:type="fixed"/>
        <w:tblCellMar>
          <w:top w:w="0" w:type="dxa"/>
          <w:left w:w="108" w:type="dxa"/>
          <w:bottom w:w="0" w:type="dxa"/>
          <w:right w:w="108" w:type="dxa"/>
        </w:tblCellMar>
      </w:tblPr>
      <w:tblGrid>
        <w:gridCol w:w="518"/>
        <w:gridCol w:w="1242"/>
        <w:gridCol w:w="5395"/>
        <w:gridCol w:w="675"/>
        <w:gridCol w:w="692"/>
      </w:tblGrid>
      <w:tr w14:paraId="4663A061">
        <w:tblPrEx>
          <w:tblCellMar>
            <w:top w:w="0" w:type="dxa"/>
            <w:left w:w="108" w:type="dxa"/>
            <w:bottom w:w="0" w:type="dxa"/>
            <w:right w:w="108" w:type="dxa"/>
          </w:tblCellMar>
        </w:tblPrEx>
        <w:trPr>
          <w:trHeight w:val="480" w:hRule="atLeast"/>
        </w:trPr>
        <w:tc>
          <w:tcPr>
            <w:tcW w:w="303" w:type="pct"/>
            <w:tcBorders>
              <w:top w:val="single" w:color="auto" w:sz="4" w:space="0"/>
              <w:left w:val="single" w:color="000000" w:sz="4" w:space="0"/>
              <w:bottom w:val="single" w:color="000000" w:sz="4" w:space="0"/>
              <w:right w:val="single" w:color="000000" w:sz="4" w:space="0"/>
            </w:tcBorders>
            <w:noWrap w:val="0"/>
            <w:vAlign w:val="center"/>
          </w:tcPr>
          <w:p w14:paraId="0108FDE7">
            <w:pPr>
              <w:widowControl/>
              <w:jc w:val="left"/>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序号</w:t>
            </w:r>
          </w:p>
        </w:tc>
        <w:tc>
          <w:tcPr>
            <w:tcW w:w="728" w:type="pct"/>
            <w:tcBorders>
              <w:top w:val="single" w:color="auto" w:sz="4" w:space="0"/>
              <w:left w:val="single" w:color="000000" w:sz="4" w:space="0"/>
              <w:bottom w:val="single" w:color="000000" w:sz="4" w:space="0"/>
              <w:right w:val="single" w:color="000000" w:sz="4" w:space="0"/>
            </w:tcBorders>
            <w:noWrap w:val="0"/>
            <w:vAlign w:val="center"/>
          </w:tcPr>
          <w:p w14:paraId="03660458">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采购品目名称</w:t>
            </w:r>
          </w:p>
        </w:tc>
        <w:tc>
          <w:tcPr>
            <w:tcW w:w="3165" w:type="pct"/>
            <w:tcBorders>
              <w:top w:val="single" w:color="auto" w:sz="4" w:space="0"/>
              <w:left w:val="single" w:color="000000" w:sz="4" w:space="0"/>
              <w:bottom w:val="single" w:color="000000" w:sz="4" w:space="0"/>
              <w:right w:val="single" w:color="000000" w:sz="4" w:space="0"/>
            </w:tcBorders>
            <w:noWrap w:val="0"/>
            <w:vAlign w:val="center"/>
          </w:tcPr>
          <w:p w14:paraId="52F2E1E0">
            <w:pPr>
              <w:widowControl/>
              <w:jc w:val="center"/>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val="en-US" w:eastAsia="zh-CN" w:bidi="ar"/>
              </w:rPr>
              <w:t>参考品牌型号及详细</w:t>
            </w:r>
            <w:r>
              <w:rPr>
                <w:rFonts w:hint="eastAsia" w:ascii="宋体" w:hAnsi="宋体" w:eastAsia="宋体" w:cs="宋体"/>
                <w:b/>
                <w:bCs/>
                <w:color w:val="auto"/>
                <w:kern w:val="0"/>
                <w:sz w:val="18"/>
                <w:szCs w:val="18"/>
                <w:lang w:bidi="ar"/>
              </w:rPr>
              <w:t>技术参数</w:t>
            </w:r>
          </w:p>
        </w:tc>
        <w:tc>
          <w:tcPr>
            <w:tcW w:w="395" w:type="pct"/>
            <w:tcBorders>
              <w:top w:val="single" w:color="auto" w:sz="4" w:space="0"/>
              <w:left w:val="single" w:color="000000" w:sz="4" w:space="0"/>
              <w:bottom w:val="single" w:color="000000" w:sz="4" w:space="0"/>
              <w:right w:val="single" w:color="000000" w:sz="4" w:space="0"/>
            </w:tcBorders>
            <w:noWrap w:val="0"/>
            <w:vAlign w:val="center"/>
          </w:tcPr>
          <w:p w14:paraId="42AB47A5">
            <w:pPr>
              <w:widowControl/>
              <w:jc w:val="left"/>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单位</w:t>
            </w:r>
          </w:p>
        </w:tc>
        <w:tc>
          <w:tcPr>
            <w:tcW w:w="405" w:type="pct"/>
            <w:tcBorders>
              <w:top w:val="single" w:color="auto" w:sz="4" w:space="0"/>
              <w:left w:val="single" w:color="000000" w:sz="4" w:space="0"/>
              <w:bottom w:val="single" w:color="000000" w:sz="4" w:space="0"/>
              <w:right w:val="single" w:color="000000" w:sz="4" w:space="0"/>
            </w:tcBorders>
            <w:noWrap w:val="0"/>
            <w:vAlign w:val="center"/>
          </w:tcPr>
          <w:p w14:paraId="79344350">
            <w:pPr>
              <w:widowControl/>
              <w:jc w:val="left"/>
              <w:textAlignment w:val="center"/>
              <w:rPr>
                <w:rFonts w:hint="eastAsia" w:ascii="宋体" w:hAnsi="宋体" w:eastAsia="宋体" w:cs="宋体"/>
                <w:b/>
                <w:bCs/>
                <w:color w:val="auto"/>
                <w:sz w:val="18"/>
                <w:szCs w:val="18"/>
              </w:rPr>
            </w:pPr>
            <w:r>
              <w:rPr>
                <w:rFonts w:hint="eastAsia" w:ascii="宋体" w:hAnsi="宋体" w:eastAsia="宋体" w:cs="宋体"/>
                <w:b/>
                <w:bCs/>
                <w:color w:val="auto"/>
                <w:kern w:val="0"/>
                <w:sz w:val="18"/>
                <w:szCs w:val="18"/>
                <w:lang w:bidi="ar"/>
              </w:rPr>
              <w:t>数量</w:t>
            </w:r>
          </w:p>
        </w:tc>
      </w:tr>
      <w:tr w14:paraId="6A53D17F">
        <w:tblPrEx>
          <w:tblCellMar>
            <w:top w:w="0" w:type="dxa"/>
            <w:left w:w="108" w:type="dxa"/>
            <w:bottom w:w="0" w:type="dxa"/>
            <w:right w:w="108" w:type="dxa"/>
          </w:tblCellMar>
        </w:tblPrEx>
        <w:trPr>
          <w:trHeight w:val="545" w:hRule="atLeast"/>
        </w:trPr>
        <w:tc>
          <w:tcPr>
            <w:tcW w:w="5000" w:type="pct"/>
            <w:gridSpan w:val="5"/>
            <w:tcBorders>
              <w:top w:val="single" w:color="000000" w:sz="4" w:space="0"/>
              <w:left w:val="single" w:color="000000" w:sz="4" w:space="0"/>
              <w:bottom w:val="single" w:color="000000" w:sz="4" w:space="0"/>
              <w:right w:val="single" w:color="000000" w:sz="4" w:space="0"/>
            </w:tcBorders>
            <w:noWrap w:val="0"/>
            <w:vAlign w:val="center"/>
          </w:tcPr>
          <w:p w14:paraId="00B46B71">
            <w:pPr>
              <w:widowControl/>
              <w:jc w:val="left"/>
              <w:textAlignment w:val="center"/>
              <w:rPr>
                <w:rFonts w:hint="eastAsia" w:ascii="宋体" w:hAnsi="宋体" w:eastAsia="宋体" w:cs="宋体"/>
                <w:b/>
                <w:color w:val="auto"/>
                <w:kern w:val="0"/>
                <w:sz w:val="18"/>
                <w:szCs w:val="18"/>
                <w:lang w:bidi="ar"/>
              </w:rPr>
            </w:pPr>
            <w:r>
              <w:rPr>
                <w:rFonts w:hint="eastAsia" w:ascii="宋体" w:hAnsi="宋体" w:eastAsia="宋体" w:cs="宋体"/>
                <w:b/>
                <w:color w:val="auto"/>
                <w:kern w:val="0"/>
                <w:sz w:val="18"/>
                <w:szCs w:val="18"/>
                <w:lang w:bidi="ar"/>
              </w:rPr>
              <w:t>一、计算机应用专业实训室设备采购</w:t>
            </w:r>
          </w:p>
        </w:tc>
      </w:tr>
      <w:tr w14:paraId="3349E184">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44A6D501">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158DC3A2">
            <w:pPr>
              <w:widowControl/>
              <w:jc w:val="center"/>
              <w:textAlignment w:val="center"/>
              <w:rPr>
                <w:rFonts w:hint="eastAsia" w:ascii="宋体" w:hAnsi="宋体" w:eastAsia="宋体" w:cs="宋体"/>
                <w:color w:val="auto"/>
                <w:kern w:val="0"/>
                <w:sz w:val="18"/>
                <w:szCs w:val="18"/>
                <w:lang w:bidi="ar"/>
              </w:rPr>
            </w:pPr>
          </w:p>
          <w:p w14:paraId="4AC10F0C">
            <w:pPr>
              <w:widowControl/>
              <w:jc w:val="center"/>
              <w:textAlignment w:val="center"/>
              <w:rPr>
                <w:rFonts w:hint="eastAsia" w:ascii="宋体" w:hAnsi="宋体" w:eastAsia="宋体" w:cs="宋体"/>
                <w:color w:val="auto"/>
                <w:kern w:val="0"/>
                <w:sz w:val="18"/>
                <w:szCs w:val="18"/>
                <w:lang w:bidi="ar"/>
              </w:rPr>
            </w:pPr>
          </w:p>
          <w:p w14:paraId="3C9B82B6">
            <w:pPr>
              <w:widowControl/>
              <w:jc w:val="center"/>
              <w:textAlignment w:val="center"/>
              <w:rPr>
                <w:rFonts w:hint="eastAsia" w:ascii="宋体" w:hAnsi="宋体" w:eastAsia="宋体" w:cs="宋体"/>
                <w:color w:val="auto"/>
                <w:kern w:val="0"/>
                <w:sz w:val="18"/>
                <w:szCs w:val="18"/>
                <w:lang w:bidi="ar"/>
              </w:rPr>
            </w:pPr>
          </w:p>
          <w:p w14:paraId="1B6EB0DD">
            <w:pPr>
              <w:widowControl/>
              <w:jc w:val="center"/>
              <w:textAlignment w:val="center"/>
              <w:rPr>
                <w:rFonts w:hint="eastAsia" w:ascii="宋体" w:hAnsi="宋体" w:eastAsia="宋体" w:cs="宋体"/>
                <w:color w:val="auto"/>
                <w:kern w:val="0"/>
                <w:sz w:val="18"/>
                <w:szCs w:val="18"/>
                <w:lang w:bidi="ar"/>
              </w:rPr>
            </w:pPr>
          </w:p>
          <w:p w14:paraId="0917CB91">
            <w:pPr>
              <w:widowControl/>
              <w:jc w:val="center"/>
              <w:textAlignment w:val="center"/>
              <w:rPr>
                <w:rFonts w:hint="eastAsia" w:ascii="宋体" w:hAnsi="宋体" w:eastAsia="宋体" w:cs="宋体"/>
                <w:color w:val="auto"/>
                <w:kern w:val="0"/>
                <w:sz w:val="18"/>
                <w:szCs w:val="18"/>
                <w:lang w:bidi="ar"/>
              </w:rPr>
            </w:pPr>
          </w:p>
          <w:p w14:paraId="12A784FD">
            <w:pPr>
              <w:widowControl/>
              <w:jc w:val="center"/>
              <w:textAlignment w:val="center"/>
              <w:rPr>
                <w:rFonts w:hint="eastAsia" w:ascii="宋体" w:hAnsi="宋体" w:eastAsia="宋体" w:cs="宋体"/>
                <w:color w:val="auto"/>
                <w:kern w:val="0"/>
                <w:sz w:val="18"/>
                <w:szCs w:val="18"/>
                <w:lang w:bidi="ar"/>
              </w:rPr>
            </w:pPr>
          </w:p>
          <w:p w14:paraId="3AAD3FDF">
            <w:pPr>
              <w:widowControl/>
              <w:jc w:val="center"/>
              <w:textAlignment w:val="center"/>
              <w:rPr>
                <w:rFonts w:hint="eastAsia" w:ascii="宋体" w:hAnsi="宋体" w:eastAsia="宋体" w:cs="宋体"/>
                <w:color w:val="auto"/>
                <w:kern w:val="0"/>
                <w:sz w:val="18"/>
                <w:szCs w:val="18"/>
                <w:lang w:bidi="ar"/>
              </w:rPr>
            </w:pPr>
          </w:p>
          <w:p w14:paraId="5865D9DB">
            <w:pPr>
              <w:widowControl/>
              <w:jc w:val="center"/>
              <w:textAlignment w:val="center"/>
              <w:rPr>
                <w:rFonts w:hint="eastAsia" w:ascii="宋体" w:hAnsi="宋体" w:eastAsia="宋体" w:cs="宋体"/>
                <w:color w:val="auto"/>
                <w:kern w:val="0"/>
                <w:sz w:val="18"/>
                <w:szCs w:val="18"/>
                <w:lang w:bidi="ar"/>
              </w:rPr>
            </w:pPr>
          </w:p>
          <w:p w14:paraId="01971032">
            <w:pPr>
              <w:widowControl/>
              <w:jc w:val="center"/>
              <w:textAlignment w:val="center"/>
              <w:rPr>
                <w:rFonts w:hint="eastAsia" w:ascii="宋体" w:hAnsi="宋体" w:eastAsia="宋体" w:cs="宋体"/>
                <w:color w:val="auto"/>
                <w:kern w:val="0"/>
                <w:sz w:val="18"/>
                <w:szCs w:val="18"/>
                <w:lang w:bidi="ar"/>
              </w:rPr>
            </w:pPr>
          </w:p>
          <w:p w14:paraId="7F0EFA66">
            <w:pPr>
              <w:widowControl/>
              <w:jc w:val="center"/>
              <w:textAlignment w:val="center"/>
              <w:rPr>
                <w:rFonts w:hint="eastAsia" w:ascii="宋体" w:hAnsi="宋体" w:eastAsia="宋体" w:cs="宋体"/>
                <w:color w:val="auto"/>
                <w:kern w:val="0"/>
                <w:sz w:val="18"/>
                <w:szCs w:val="18"/>
                <w:lang w:bidi="ar"/>
              </w:rPr>
            </w:pPr>
          </w:p>
          <w:p w14:paraId="200E4123">
            <w:pPr>
              <w:widowControl/>
              <w:jc w:val="center"/>
              <w:textAlignment w:val="center"/>
              <w:rPr>
                <w:rFonts w:hint="eastAsia" w:ascii="宋体" w:hAnsi="宋体" w:eastAsia="宋体" w:cs="宋体"/>
                <w:color w:val="auto"/>
                <w:kern w:val="0"/>
                <w:sz w:val="18"/>
                <w:szCs w:val="18"/>
                <w:lang w:bidi="ar"/>
              </w:rPr>
            </w:pPr>
          </w:p>
          <w:p w14:paraId="3B6B558D">
            <w:pPr>
              <w:widowControl/>
              <w:jc w:val="center"/>
              <w:textAlignment w:val="center"/>
              <w:rPr>
                <w:rFonts w:hint="eastAsia" w:ascii="宋体" w:hAnsi="宋体" w:eastAsia="宋体" w:cs="宋体"/>
                <w:color w:val="auto"/>
                <w:kern w:val="0"/>
                <w:sz w:val="18"/>
                <w:szCs w:val="18"/>
                <w:lang w:bidi="ar"/>
              </w:rPr>
            </w:pPr>
          </w:p>
          <w:p w14:paraId="3E5719B6">
            <w:pPr>
              <w:widowControl/>
              <w:jc w:val="center"/>
              <w:textAlignment w:val="center"/>
              <w:rPr>
                <w:rFonts w:hint="eastAsia" w:ascii="宋体" w:hAnsi="宋体" w:eastAsia="宋体" w:cs="宋体"/>
                <w:color w:val="auto"/>
                <w:kern w:val="0"/>
                <w:sz w:val="18"/>
                <w:szCs w:val="18"/>
                <w:lang w:bidi="ar"/>
              </w:rPr>
            </w:pPr>
          </w:p>
          <w:p w14:paraId="4E334E2F">
            <w:pPr>
              <w:widowControl/>
              <w:jc w:val="center"/>
              <w:textAlignment w:val="center"/>
              <w:rPr>
                <w:rFonts w:hint="eastAsia" w:ascii="宋体" w:hAnsi="宋体" w:eastAsia="宋体" w:cs="宋体"/>
                <w:color w:val="auto"/>
                <w:kern w:val="0"/>
                <w:sz w:val="18"/>
                <w:szCs w:val="18"/>
                <w:lang w:bidi="ar"/>
              </w:rPr>
            </w:pPr>
          </w:p>
          <w:p w14:paraId="24162FCB">
            <w:pPr>
              <w:widowControl/>
              <w:jc w:val="center"/>
              <w:textAlignment w:val="center"/>
              <w:rPr>
                <w:rFonts w:hint="eastAsia" w:ascii="宋体" w:hAnsi="宋体" w:eastAsia="宋体" w:cs="宋体"/>
                <w:color w:val="auto"/>
                <w:kern w:val="0"/>
                <w:sz w:val="18"/>
                <w:szCs w:val="18"/>
                <w:lang w:bidi="ar"/>
              </w:rPr>
            </w:pPr>
          </w:p>
          <w:p w14:paraId="0DB978A9">
            <w:pPr>
              <w:widowControl/>
              <w:jc w:val="center"/>
              <w:textAlignment w:val="center"/>
              <w:rPr>
                <w:rFonts w:hint="eastAsia" w:ascii="宋体" w:hAnsi="宋体" w:eastAsia="宋体" w:cs="宋体"/>
                <w:color w:val="auto"/>
                <w:kern w:val="0"/>
                <w:sz w:val="18"/>
                <w:szCs w:val="18"/>
                <w:lang w:bidi="ar"/>
              </w:rPr>
            </w:pPr>
          </w:p>
          <w:p w14:paraId="4050A698">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bdr w:val="single" w:color="000000" w:sz="4" w:space="0"/>
                <w:lang w:bidi="ar"/>
              </w:rPr>
              <w:drawing>
                <wp:anchor distT="0" distB="0" distL="114300" distR="114300" simplePos="0" relativeHeight="251662336" behindDoc="0" locked="0" layoutInCell="1" allowOverlap="1">
                  <wp:simplePos x="0" y="0"/>
                  <wp:positionH relativeFrom="column">
                    <wp:posOffset>86360</wp:posOffset>
                  </wp:positionH>
                  <wp:positionV relativeFrom="paragraph">
                    <wp:posOffset>0</wp:posOffset>
                  </wp:positionV>
                  <wp:extent cx="8890" cy="30480"/>
                  <wp:effectExtent l="0" t="0" r="0" b="0"/>
                  <wp:wrapNone/>
                  <wp:docPr id="1" name="图片 2"/>
                  <wp:cNvGraphicFramePr/>
                  <a:graphic xmlns:a="http://schemas.openxmlformats.org/drawingml/2006/main">
                    <a:graphicData uri="http://schemas.openxmlformats.org/drawingml/2006/picture">
                      <pic:pic xmlns:pic="http://schemas.openxmlformats.org/drawingml/2006/picture">
                        <pic:nvPicPr>
                          <pic:cNvPr id="1" name="图片 2"/>
                          <pic:cNvPicPr/>
                        </pic:nvPicPr>
                        <pic:blipFill>
                          <a:blip r:embed="rId5"/>
                          <a:stretch>
                            <a:fillRect/>
                          </a:stretch>
                        </pic:blipFill>
                        <pic:spPr>
                          <a:xfrm>
                            <a:off x="0" y="0"/>
                            <a:ext cx="8890" cy="30480"/>
                          </a:xfrm>
                          <a:prstGeom prst="rect">
                            <a:avLst/>
                          </a:prstGeom>
                          <a:noFill/>
                          <a:ln>
                            <a:noFill/>
                          </a:ln>
                        </pic:spPr>
                      </pic:pic>
                    </a:graphicData>
                  </a:graphic>
                </wp:anchor>
              </w:drawing>
            </w:r>
            <w:r>
              <w:rPr>
                <w:rFonts w:hint="eastAsia" w:ascii="宋体" w:hAnsi="宋体" w:eastAsia="宋体" w:cs="宋体"/>
                <w:color w:val="auto"/>
                <w:kern w:val="0"/>
                <w:sz w:val="18"/>
                <w:szCs w:val="18"/>
                <w:bdr w:val="single" w:color="000000" w:sz="4" w:space="0"/>
                <w:lang w:bidi="ar"/>
              </w:rPr>
              <w:drawing>
                <wp:anchor distT="0" distB="0" distL="114300" distR="114300" simplePos="0" relativeHeight="251663360" behindDoc="0" locked="0" layoutInCell="1" allowOverlap="1">
                  <wp:simplePos x="0" y="0"/>
                  <wp:positionH relativeFrom="column">
                    <wp:posOffset>86360</wp:posOffset>
                  </wp:positionH>
                  <wp:positionV relativeFrom="paragraph">
                    <wp:posOffset>0</wp:posOffset>
                  </wp:positionV>
                  <wp:extent cx="8890" cy="31115"/>
                  <wp:effectExtent l="0" t="0" r="0" b="0"/>
                  <wp:wrapNone/>
                  <wp:docPr id="2" name="Picture_122_SpCnt_2"/>
                  <wp:cNvGraphicFramePr/>
                  <a:graphic xmlns:a="http://schemas.openxmlformats.org/drawingml/2006/main">
                    <a:graphicData uri="http://schemas.openxmlformats.org/drawingml/2006/picture">
                      <pic:pic xmlns:pic="http://schemas.openxmlformats.org/drawingml/2006/picture">
                        <pic:nvPicPr>
                          <pic:cNvPr id="2" name="Picture_122_SpCnt_2"/>
                          <pic:cNvPicPr/>
                        </pic:nvPicPr>
                        <pic:blipFill>
                          <a:blip r:embed="rId5"/>
                          <a:stretch>
                            <a:fillRect/>
                          </a:stretch>
                        </pic:blipFill>
                        <pic:spPr>
                          <a:xfrm>
                            <a:off x="0" y="0"/>
                            <a:ext cx="8890" cy="31115"/>
                          </a:xfrm>
                          <a:prstGeom prst="rect">
                            <a:avLst/>
                          </a:prstGeom>
                          <a:noFill/>
                          <a:ln>
                            <a:noFill/>
                          </a:ln>
                        </pic:spPr>
                      </pic:pic>
                    </a:graphicData>
                  </a:graphic>
                </wp:anchor>
              </w:drawing>
            </w:r>
            <w:r>
              <w:rPr>
                <w:rFonts w:hint="eastAsia" w:ascii="宋体" w:hAnsi="宋体" w:eastAsia="宋体" w:cs="宋体"/>
                <w:color w:val="auto"/>
                <w:kern w:val="0"/>
                <w:sz w:val="18"/>
                <w:szCs w:val="18"/>
                <w:lang w:bidi="ar"/>
              </w:rPr>
              <w:t>高端定制图形工作站（比赛专用）</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748EEA17">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bdr w:val="single" w:color="000000" w:sz="4" w:space="0"/>
                <w:lang w:val="en-US" w:eastAsia="zh-CN" w:bidi="ar"/>
              </w:rPr>
              <w:drawing>
                <wp:anchor distT="0" distB="0" distL="114300" distR="114300" simplePos="0" relativeHeight="251671552" behindDoc="0" locked="0" layoutInCell="1" allowOverlap="1">
                  <wp:simplePos x="0" y="0"/>
                  <wp:positionH relativeFrom="column">
                    <wp:posOffset>0</wp:posOffset>
                  </wp:positionH>
                  <wp:positionV relativeFrom="paragraph">
                    <wp:posOffset>0</wp:posOffset>
                  </wp:positionV>
                  <wp:extent cx="1905" cy="30480"/>
                  <wp:effectExtent l="0" t="0" r="0" b="0"/>
                  <wp:wrapNone/>
                  <wp:docPr id="3" name="图片 4"/>
                  <wp:cNvGraphicFramePr/>
                  <a:graphic xmlns:a="http://schemas.openxmlformats.org/drawingml/2006/main">
                    <a:graphicData uri="http://schemas.openxmlformats.org/drawingml/2006/picture">
                      <pic:pic xmlns:pic="http://schemas.openxmlformats.org/drawingml/2006/picture">
                        <pic:nvPicPr>
                          <pic:cNvPr id="3" name="图片 4"/>
                          <pic:cNvPicPr/>
                        </pic:nvPicPr>
                        <pic:blipFill>
                          <a:blip r:embed="rId6"/>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auto"/>
                <w:kern w:val="0"/>
                <w:sz w:val="18"/>
                <w:szCs w:val="18"/>
                <w:u w:val="none"/>
                <w:lang w:val="en-US" w:eastAsia="zh-CN" w:bidi="ar"/>
              </w:rPr>
              <w:t>工作站技术规格要求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1.CPU：Intel i9-14900 处理器（2.0GHz主频，24核心）（优于或等于）</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2.主板：Intel  W680芯片组及以上</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3.内存：64G DDR5 4400MHz内存，提供4个内存槽位</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4.显卡：RTX4070 12GB独显（优于或等于）</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5.声卡：集成声卡，提供不低于3个音频接口（其中前置1个二合一音频接口）</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6.硬盘：1T SSD 固态硬盘</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7.集成10/100/1000M以太网卡</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8.WIN11 home 64位系统或以上</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 键盘、鼠标：USB Calliope 黑色键盘、USB Calliope 黑色鼠标</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10. 接口≥前置：5个USB 3.2接口（至少1个USB Type-C）、2个音频接口，后置：4个USB 3.2接口、串口、音频接口、2个DP接口 、1个HDMI接口</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11.扩展槽位 ≥3个PCIE插槽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12.电源≥750W 90% 电源转化效率（提供80PLUS相关检测报告）</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13.显示器：23.8寸IPS WLED显示器，分辨率1920 x 1080，屏幕比例16：9，亮度不低于250，对比度不低于1000:1，响应时间4ms，VGA + HDMI1.4 + DP1.2接口，屏幕可俯仰/升降/旋转调节，不闪屏、低蓝光、低反射、少衰减</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14. 机箱：塔式标准机箱，不大于17L，节省空间；内嵌式把手设计，易于搬运，顶置电源开关键，方便使用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▲15. 安全特性：USB屏蔽技术，仅识别USB键盘、鼠标，无法识别USB读取设备，有效防止数据泄露；（投标时提供功能性截屏）</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16.服务：原厂提供二年上门服务，厂商承诺：当日下午4点前报修，下一自然日24点前修复，若没有完成修复，则免费赠送延迟日数对应的月度延保服务；在二年维保时间内，承诺将提供1次免费的尝试性故障硬盘（单盘）数据拯救服务，若未恢复则不计次数；</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▲17.供货和服务确认：为了保证设备原厂出厂和产品质量，投标时提供设备原厂商针对本单位和本批次货品的供货确认函、厂商出具售后承诺服务函件；</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4C5E9A9E">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台</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7A904654">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12</w:t>
            </w:r>
          </w:p>
        </w:tc>
      </w:tr>
      <w:tr w14:paraId="3AB1EE81">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532D3291">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7BDFB32C">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图形工作站</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32392D09">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bdr w:val="single" w:color="000000" w:sz="4" w:space="0"/>
                <w:lang w:val="en-US" w:eastAsia="zh-CN" w:bidi="ar"/>
              </w:rPr>
              <w:drawing>
                <wp:anchor distT="0" distB="0" distL="114300" distR="114300" simplePos="0" relativeHeight="251672576" behindDoc="0" locked="0" layoutInCell="1" allowOverlap="1">
                  <wp:simplePos x="0" y="0"/>
                  <wp:positionH relativeFrom="column">
                    <wp:posOffset>0</wp:posOffset>
                  </wp:positionH>
                  <wp:positionV relativeFrom="paragraph">
                    <wp:posOffset>0</wp:posOffset>
                  </wp:positionV>
                  <wp:extent cx="1905" cy="30480"/>
                  <wp:effectExtent l="0" t="0" r="0" b="0"/>
                  <wp:wrapNone/>
                  <wp:docPr id="4" name="图片 5"/>
                  <wp:cNvGraphicFramePr/>
                  <a:graphic xmlns:a="http://schemas.openxmlformats.org/drawingml/2006/main">
                    <a:graphicData uri="http://schemas.openxmlformats.org/drawingml/2006/picture">
                      <pic:pic xmlns:pic="http://schemas.openxmlformats.org/drawingml/2006/picture">
                        <pic:nvPicPr>
                          <pic:cNvPr id="4" name="图片 5"/>
                          <pic:cNvPicPr/>
                        </pic:nvPicPr>
                        <pic:blipFill>
                          <a:blip r:embed="rId5"/>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auto"/>
                <w:kern w:val="0"/>
                <w:sz w:val="18"/>
                <w:szCs w:val="18"/>
                <w:u w:val="none"/>
                <w:lang w:val="en-US" w:eastAsia="zh-CN" w:bidi="ar"/>
              </w:rPr>
              <w:t>1.CPU：Core i7-14700 2.1G 20C 28T（优于或等于）</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2.主板：Intel  Q670芯片组及以上</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3.内存：16G DDR5 4400MHz内存，提供4个内存槽位</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4.显卡：T400 4GB 显卡</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5.声卡：集成声卡</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6.硬盘：512GB SSD M.2 固态硬盘</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7.集成10/100/1000M以太网卡</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8.Windows 11 Home 64bit简体中文版（优于或等于）</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 键盘、鼠标：原厂防水键盘、抗菌鼠标</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10. 接口：前置：5个USB 3.2接口（至少1个USB Type-C）、2个音频接口；后置：4个USB 3.2接口、串口、音频接口、2个DP接口 、1个HDMI接口</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11.扩展槽位: 2个PCIe16x</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12.电源：500W 92%节能电源</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13.显示器：23.8寸IPS WLED显示器，分辨率1920 x 1080，屏幕比例16：9，亮度不低于250，对比度不低于1000:1，响应时间4ms，VGA + HDMI1.4 + DP1.2接口，屏幕可俯仰/升降/旋转调节，不闪屏、低蓝光、低反射、少衰减</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▲14. 机箱：塔式标准机箱，不大于17L，节省空间；内嵌式把手设计，易于搬运，顶置电源开关键，方便使用。可选强力风扇，能够达到有效降解甲醛、净化空气的效果（提供第三方检测机构的证明文件）；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▲15. 安全特性：USB屏蔽技术，仅识别USB键盘、鼠标，无法识别USB读取设备，有效防止数据泄露；（投标时提供功能性截屏）                                                                                                                                                                      ▲16.教学应用软件出厂配套同品牌云部署应用管理软件(提供盖章功能截图）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17.服务：原厂提供二年上门服务，厂商承诺：当日下午4点前报修，下一自然日24点前修复，若没有完成修复，则免费赠送延迟日数对应的月度延保服务；在二年维保时间内，承诺将提供1次免费的尝试性故障硬盘（单盘）数据拯救服务，若未恢复则不计次数；</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▲18.供货和服务确认：为了保证设备原厂出厂和产品质量，投标时提供设备原厂商针对本单位和本批次货品的供货确认函、厂商出具售后承诺服务函件</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04004212">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台</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79F91B7">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t>88</w:t>
            </w:r>
          </w:p>
        </w:tc>
      </w:tr>
      <w:tr w14:paraId="3924C1B1">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48424D3D">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3</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3FA51A1D">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桌椅 </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754FD1EA">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 xml:space="preserve">800*500*750.基材：采用E1级环保型中密度纤维板，含水率≤8%，板材密度≥700g/cm³，吸水厚度膨胀率≤12.0%，静曲强度≥24.0MPa，弹性模量≥2300MPa，甲醛释放量（气候箱法）≤0.124mg/m³，总挥发性有机化合物≤0.50mg/m².h，经高温防潮、防腐、防虫处理                                    </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403300D7">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套</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65870D9">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98</w:t>
            </w:r>
          </w:p>
        </w:tc>
      </w:tr>
      <w:tr w14:paraId="413BAD70">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307CC757">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6DAB6BA5">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讲台桌椅</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780564EB">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1.规格： 1150*780*1000（长宽高）MM。</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2.讲桌主体材料采用1.0MM冷轧钢板。讲桌采用钢木结合构造，桌体上部分采用圆弧设计。讲台整体设计符合人体力学原理，提供左右海南橡木实木扶手，供使用者扶用。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3.工艺：脱脂、磷化、静电喷塑、溜平固化，重点部位须采用一次冲压成型技术；所有钣金部分均采用激光切割加工，所有尖角倒圆角不小于R3，保证使用者和维护者不划伤。</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4.讲桌桌面采用木黄色耐划木质材料，耐腐蚀环保台面（非吸塑工艺），扶手采用橡木扶手，L型橡木装饰板，整体布局简洁、美观。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桌面由一把机械锁控制，采用环环相扣设计，显示器盖板、键盘打开，展示台抽屉逐步打开。关闭时只要把显示器翻转锁住，此时整个桌面成一个平面状态，操作更简易，使用更安全。或者讲台上设置输入电源控制总开关，用IC卡的形式，能防一定的技术性开启。</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6.桌面可选配集成模块（有不少于2个USB接口，1个HDMI接口，1个网线接口，1个MIC,1个VGA,1个三孔电源接口）。</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7.讲桌上下层采用分体式设计，桌面部分和桌体部分自成一体，方便进出设计比较窄的教室门。讲桌内置固定螺丝孔位，安装简单，安全防盗；独立包装，运输轻便。</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8.显示器盖板和键盘、鼠标部分采用联动式设计。显示器盖板可装置23.5寸液晶宽屏显示器；安装显示器无任何螺丝结构。键盘前面放置一体中控或者分体中控系统，</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9.右侧抽屉可放置实物展示台，承重6公斤,关闭后,所有设备都隐藏在讲台内。</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10.上柜尺寸1150*780*340mm，下柜尺寸810*630*660mm，桌面到地面尺寸为900mm高，显示器开孔为550mm.  C、配套教师椅子                              </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6BAF2503">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套</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0D063D6">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14:paraId="7DAD7451">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78E7D168">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bdr w:val="single" w:color="000000" w:sz="4" w:space="0"/>
                <w:lang w:bidi="ar"/>
              </w:rPr>
              <w:drawing>
                <wp:anchor distT="0" distB="0" distL="114300" distR="114300" simplePos="0" relativeHeight="251660288" behindDoc="0" locked="0" layoutInCell="1" allowOverlap="1">
                  <wp:simplePos x="0" y="0"/>
                  <wp:positionH relativeFrom="column">
                    <wp:posOffset>228600</wp:posOffset>
                  </wp:positionH>
                  <wp:positionV relativeFrom="paragraph">
                    <wp:posOffset>0</wp:posOffset>
                  </wp:positionV>
                  <wp:extent cx="1905" cy="30480"/>
                  <wp:effectExtent l="0" t="0" r="0" b="0"/>
                  <wp:wrapNone/>
                  <wp:docPr id="5" name="Picture_122"/>
                  <wp:cNvGraphicFramePr/>
                  <a:graphic xmlns:a="http://schemas.openxmlformats.org/drawingml/2006/main">
                    <a:graphicData uri="http://schemas.openxmlformats.org/drawingml/2006/picture">
                      <pic:pic xmlns:pic="http://schemas.openxmlformats.org/drawingml/2006/picture">
                        <pic:nvPicPr>
                          <pic:cNvPr id="5" name="Picture_122"/>
                          <pic:cNvPicPr/>
                        </pic:nvPicPr>
                        <pic:blipFill>
                          <a:blip r:embed="rId7"/>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color w:val="auto"/>
                <w:kern w:val="0"/>
                <w:sz w:val="18"/>
                <w:szCs w:val="18"/>
                <w:bdr w:val="single" w:color="000000" w:sz="4" w:space="0"/>
                <w:lang w:bidi="ar"/>
              </w:rPr>
              <w:drawing>
                <wp:anchor distT="0" distB="0" distL="114300" distR="114300" simplePos="0" relativeHeight="251661312" behindDoc="0" locked="0" layoutInCell="1" allowOverlap="1">
                  <wp:simplePos x="0" y="0"/>
                  <wp:positionH relativeFrom="column">
                    <wp:posOffset>228600</wp:posOffset>
                  </wp:positionH>
                  <wp:positionV relativeFrom="paragraph">
                    <wp:posOffset>0</wp:posOffset>
                  </wp:positionV>
                  <wp:extent cx="1905" cy="30480"/>
                  <wp:effectExtent l="0" t="0" r="0" b="0"/>
                  <wp:wrapNone/>
                  <wp:docPr id="15" name="Picture_122_SpCnt_1"/>
                  <wp:cNvGraphicFramePr/>
                  <a:graphic xmlns:a="http://schemas.openxmlformats.org/drawingml/2006/main">
                    <a:graphicData uri="http://schemas.openxmlformats.org/drawingml/2006/picture">
                      <pic:pic xmlns:pic="http://schemas.openxmlformats.org/drawingml/2006/picture">
                        <pic:nvPicPr>
                          <pic:cNvPr id="15" name="Picture_122_SpCnt_1"/>
                          <pic:cNvPicPr/>
                        </pic:nvPicPr>
                        <pic:blipFill>
                          <a:blip r:embed="rId8"/>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color w:val="auto"/>
                <w:kern w:val="0"/>
                <w:sz w:val="18"/>
                <w:szCs w:val="18"/>
                <w:lang w:bidi="ar"/>
              </w:rPr>
              <w:t>5</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1BF22A8D">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机柜</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7037B423">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 xml:space="preserve">机柜定制：高度1800mm*宽度800mm *深度800mm </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4BBCA1FE">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台</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0D3C4FC8">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14:paraId="315ACFD9">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5A4626CB">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6</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07A4CAFD">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交换机</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47FB5BE4">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48口千兆三层网管型核心交换机 4千兆光纤口</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7BCED6E5">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台</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6DBD6382">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14:paraId="181FBE83">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396984F1">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7</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77613220">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交换机</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73012159">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全千兆三层网管交换机 16口千兆+2千兆光</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口</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170D15D5">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台</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30B5E1A">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14:paraId="49630334">
        <w:tblPrEx>
          <w:tblCellMar>
            <w:top w:w="0" w:type="dxa"/>
            <w:left w:w="108" w:type="dxa"/>
            <w:bottom w:w="0" w:type="dxa"/>
            <w:right w:w="108" w:type="dxa"/>
          </w:tblCellMar>
        </w:tblPrEx>
        <w:trPr>
          <w:trHeight w:val="279"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1E910B08">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8</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1C1E03DC">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多媒体教学软件</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65DFDE5F">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1.支持IPV4、IPV6网络环境下安装和正常使用，支持windows 7 32位/64位，windows10 64位、windows11 64位操作系统；</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2.教师自带笔记本可通过mac绑定和ip绑定两种方式快速连接服务器和学生端，实现多媒体互动教学；</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3.支持班级管理，可将频道和班级进行绑定，用于不同的教室登录不同的频道进行上课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4.支持对学生视图自定义命令和排序，便于学生未点名时，通过座位信息快速找到学生；</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5.支持屏幕广播功能，能够实现两种接收模式，包括学生全屏/窗口模式接收教师机广播的画面，全屏状态锁定学生鼠标和键盘；</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6.屏幕广播状态下，教师可开启实时语音，学生端可以通过耳机接听教师语音，同时支持屏幕笔功能，教师可通过屏幕笔将屏幕当做画板进行绘制，便于教学互动；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7.▲在屏幕广播之后连接上来的终端可直接接收屏幕广播内容，用户终端关闭虚拟桌面仍可同步广播教师机屏幕和视频，不会中断教学；（投标时提供第三方检测机构出具的具备CNAS、CMA标识的产品功能测试报告扫描件）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8.教师可选定一个学生操作本机或操作教师机进行教学演示，并将该学生演示的画面广播给每一个学生；被广播的学生将全屏/窗口接收演示学生的画面，全屏状态键盘和鼠标被锁定；</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9.支持遥控监看，教师可实时监看学生端的学生桌面，并可远程操控学生端桌面，支持单屏控制和全体控制，并且控制时可锁定学生机；</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10.▲教师机可以连续监看所选学生机屏幕，每屏可监视多个学生,可设置每屏学生机的数量以及学生机屏幕轮循的时间间隔；（投标时提供第三方检测机构出具的具备CNAS、CMA标识的产品功能测试报告扫描件）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11.教师可对学生进行电子点名，可以自定义院系、专业、班级等单位类别，可导入导出学生信息，可设置迟到时间，可显示签到人数；</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12.支持作业下发，教师机可将自己机器上的文件传输到学生机，支持一对多传输，当选中多台学生机执行下发文件时，教师端需选择其中一台学生机作为样本机，并选择存放路径，支持发送文件或文件夹；</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13.支持收取作业，教师可发起作业提交，学生提交作业后自动收取，默认将收取上来的作业存放在桌面，该路径可自定义更换；作业命名方式支持学生自定义和教师自定义，教师自定义命名支持加入学生姓名、学号、学生机器名或学生机IP地址中的一种方式；</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14.支持一键收取指定路径的学生作业，弥补学生忘交作业和不会提交作业的缺点，提升老师收取作业的时效性；</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15.支持远程命令（包括一键关闭应用程序，一键关闭学生打开的Windows类窗口）、远程开机，远程关机等功能；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16.支持屏幕录制与回放，教师机可以将本机的操作过程、讲解录制为一个文件，内容可回放，并可通过屏幕广播给学生；</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17.支持电子白板功能，能够在屏幕广播时实现注解讲解、注释，辅助教学；</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18.支持黑屏肃静，教师可对学生执行黑屏肃静操作，能够自定义黑屏肃静的提示信息，支持手动解锁、按时解锁、按时长解锁；在某学生已经锁定情况下，也可以手动追加对其他学生进行黑屏肃静 （提供视频演示文件）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19.提供行为管控模块，支持程序黑白名单限制，支持禁用外网，禁用USB设备，教师端主界面可展示USB设备、程序、网络禁用状态；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20.支持考试功能，包括试题编辑、下发试卷、考试监控、成绩统计。可添加单选题、多选题、判断题、填空题、问答题；可设置考试时长，倒计时结束后自动结束考试。阅卷时，单选题、多选题、判断题支持自动评分和统计正确率。（提供功能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21.屏幕广播支持区域广播方式，教师端可选取一块区域广播给学生机；支持与桌面云系统融合打通，通过多媒体教学软件将学生机的win7环境一键切换到win10环境（提供视频演示文件）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22.▲支持与桌面云软件融合打通，通过教学软件实现操作系统一键切换，关闭学生机；（投标时提供第三方检测机构出具的具备CNAS、CMA标识的产品功能测试报告）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23.▲具备国家信息化部门颁发的ITSS信息技术服务标准符合性，云服务和运行维护两个业务领域，达到三级或以上等级，提供证明资料扫描件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24.支持学生面板功能，学生端通过学生面板可使用电子举手，提交作业，查看消息等常用功能；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25.教师端和学生端支持添加本地应用程序快捷功能按钮，便于一键打开需要使用的应用程序；</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1D304407">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点</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66D14C57">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100</w:t>
            </w:r>
          </w:p>
        </w:tc>
      </w:tr>
      <w:tr w14:paraId="5F71C58B">
        <w:tblPrEx>
          <w:tblCellMar>
            <w:top w:w="0" w:type="dxa"/>
            <w:left w:w="108" w:type="dxa"/>
            <w:bottom w:w="0" w:type="dxa"/>
            <w:right w:w="108" w:type="dxa"/>
          </w:tblCellMar>
        </w:tblPrEx>
        <w:trPr>
          <w:trHeight w:val="227"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332777CB">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9</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0AB67F4C">
            <w:pPr>
              <w:widowControl/>
              <w:jc w:val="center"/>
              <w:textAlignment w:val="center"/>
              <w:rPr>
                <w:rFonts w:hint="eastAsia" w:ascii="宋体" w:hAnsi="宋体" w:eastAsia="宋体" w:cs="宋体"/>
                <w:color w:val="auto"/>
                <w:kern w:val="0"/>
                <w:sz w:val="18"/>
                <w:szCs w:val="18"/>
                <w:lang w:bidi="ar"/>
              </w:rPr>
            </w:pPr>
          </w:p>
          <w:p w14:paraId="138538B0">
            <w:pPr>
              <w:widowControl/>
              <w:jc w:val="center"/>
              <w:textAlignment w:val="center"/>
              <w:rPr>
                <w:rFonts w:hint="eastAsia" w:ascii="宋体" w:hAnsi="宋体" w:eastAsia="宋体" w:cs="宋体"/>
                <w:color w:val="auto"/>
                <w:kern w:val="0"/>
                <w:sz w:val="18"/>
                <w:szCs w:val="18"/>
                <w:lang w:bidi="ar"/>
              </w:rPr>
            </w:pPr>
          </w:p>
          <w:p w14:paraId="3157AD60">
            <w:pPr>
              <w:widowControl/>
              <w:jc w:val="center"/>
              <w:textAlignment w:val="center"/>
              <w:rPr>
                <w:rFonts w:hint="eastAsia" w:ascii="宋体" w:hAnsi="宋体" w:eastAsia="宋体" w:cs="宋体"/>
                <w:color w:val="auto"/>
                <w:kern w:val="0"/>
                <w:sz w:val="18"/>
                <w:szCs w:val="18"/>
                <w:lang w:bidi="ar"/>
              </w:rPr>
            </w:pPr>
          </w:p>
          <w:p w14:paraId="3216D97B">
            <w:pPr>
              <w:widowControl/>
              <w:jc w:val="center"/>
              <w:textAlignment w:val="center"/>
              <w:rPr>
                <w:rFonts w:hint="eastAsia" w:ascii="宋体" w:hAnsi="宋体" w:eastAsia="宋体" w:cs="宋体"/>
                <w:color w:val="auto"/>
                <w:kern w:val="0"/>
                <w:sz w:val="18"/>
                <w:szCs w:val="18"/>
                <w:lang w:bidi="ar"/>
              </w:rPr>
            </w:pPr>
          </w:p>
          <w:p w14:paraId="6C8F85CA">
            <w:pPr>
              <w:widowControl/>
              <w:jc w:val="center"/>
              <w:textAlignment w:val="center"/>
              <w:rPr>
                <w:rFonts w:hint="eastAsia" w:ascii="宋体" w:hAnsi="宋体" w:eastAsia="宋体" w:cs="宋体"/>
                <w:color w:val="auto"/>
                <w:kern w:val="0"/>
                <w:sz w:val="18"/>
                <w:szCs w:val="18"/>
                <w:lang w:bidi="ar"/>
              </w:rPr>
            </w:pPr>
          </w:p>
          <w:p w14:paraId="44392D64">
            <w:pPr>
              <w:widowControl/>
              <w:jc w:val="center"/>
              <w:textAlignment w:val="center"/>
              <w:rPr>
                <w:rFonts w:hint="eastAsia" w:ascii="宋体" w:hAnsi="宋体" w:eastAsia="宋体" w:cs="宋体"/>
                <w:color w:val="auto"/>
                <w:kern w:val="0"/>
                <w:sz w:val="18"/>
                <w:szCs w:val="18"/>
                <w:lang w:bidi="ar"/>
              </w:rPr>
            </w:pPr>
          </w:p>
          <w:p w14:paraId="4E4AEE22">
            <w:pPr>
              <w:widowControl/>
              <w:jc w:val="center"/>
              <w:textAlignment w:val="center"/>
              <w:rPr>
                <w:rFonts w:hint="eastAsia" w:ascii="宋体" w:hAnsi="宋体" w:eastAsia="宋体" w:cs="宋体"/>
                <w:color w:val="auto"/>
                <w:kern w:val="0"/>
                <w:sz w:val="18"/>
                <w:szCs w:val="18"/>
                <w:lang w:bidi="ar"/>
              </w:rPr>
            </w:pPr>
          </w:p>
          <w:p w14:paraId="24ED6085">
            <w:pPr>
              <w:widowControl/>
              <w:jc w:val="center"/>
              <w:textAlignment w:val="center"/>
              <w:rPr>
                <w:rFonts w:hint="eastAsia" w:ascii="宋体" w:hAnsi="宋体" w:eastAsia="宋体" w:cs="宋体"/>
                <w:color w:val="auto"/>
                <w:kern w:val="0"/>
                <w:sz w:val="18"/>
                <w:szCs w:val="18"/>
                <w:lang w:bidi="ar"/>
              </w:rPr>
            </w:pPr>
          </w:p>
          <w:p w14:paraId="38D26ECD">
            <w:pPr>
              <w:widowControl/>
              <w:jc w:val="center"/>
              <w:textAlignment w:val="center"/>
              <w:rPr>
                <w:rFonts w:hint="eastAsia" w:ascii="宋体" w:hAnsi="宋体" w:eastAsia="宋体" w:cs="宋体"/>
                <w:color w:val="auto"/>
                <w:kern w:val="0"/>
                <w:sz w:val="18"/>
                <w:szCs w:val="18"/>
                <w:lang w:bidi="ar"/>
              </w:rPr>
            </w:pPr>
          </w:p>
          <w:p w14:paraId="2BF44DE8">
            <w:pPr>
              <w:widowControl/>
              <w:jc w:val="center"/>
              <w:textAlignment w:val="center"/>
              <w:rPr>
                <w:rFonts w:hint="eastAsia" w:ascii="宋体" w:hAnsi="宋体" w:eastAsia="宋体" w:cs="宋体"/>
                <w:color w:val="auto"/>
                <w:kern w:val="0"/>
                <w:sz w:val="18"/>
                <w:szCs w:val="18"/>
                <w:lang w:bidi="ar"/>
              </w:rPr>
            </w:pPr>
          </w:p>
          <w:p w14:paraId="7808FBCE">
            <w:pPr>
              <w:widowControl/>
              <w:jc w:val="center"/>
              <w:textAlignment w:val="center"/>
              <w:rPr>
                <w:rFonts w:hint="eastAsia" w:ascii="宋体" w:hAnsi="宋体" w:eastAsia="宋体" w:cs="宋体"/>
                <w:color w:val="auto"/>
                <w:kern w:val="0"/>
                <w:sz w:val="18"/>
                <w:szCs w:val="18"/>
                <w:lang w:bidi="ar"/>
              </w:rPr>
            </w:pPr>
          </w:p>
          <w:p w14:paraId="537A26C4">
            <w:pPr>
              <w:widowControl/>
              <w:jc w:val="center"/>
              <w:textAlignment w:val="center"/>
              <w:rPr>
                <w:rFonts w:hint="eastAsia" w:ascii="宋体" w:hAnsi="宋体" w:eastAsia="宋体" w:cs="宋体"/>
                <w:color w:val="auto"/>
                <w:kern w:val="0"/>
                <w:sz w:val="18"/>
                <w:szCs w:val="18"/>
                <w:lang w:bidi="ar"/>
              </w:rPr>
            </w:pPr>
          </w:p>
          <w:p w14:paraId="2BE23CBF">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bdr w:val="single" w:color="000000" w:sz="4" w:space="0"/>
                <w:lang w:bidi="ar"/>
              </w:rPr>
              <w:drawing>
                <wp:anchor distT="0" distB="0" distL="114300" distR="114300" simplePos="0" relativeHeight="251664384" behindDoc="0" locked="0" layoutInCell="1" allowOverlap="1">
                  <wp:simplePos x="0" y="0"/>
                  <wp:positionH relativeFrom="column">
                    <wp:posOffset>86360</wp:posOffset>
                  </wp:positionH>
                  <wp:positionV relativeFrom="paragraph">
                    <wp:posOffset>0</wp:posOffset>
                  </wp:positionV>
                  <wp:extent cx="8890" cy="30480"/>
                  <wp:effectExtent l="0" t="0" r="0" b="0"/>
                  <wp:wrapNone/>
                  <wp:docPr id="19" name="Picture_122_SpCnt_7"/>
                  <wp:cNvGraphicFramePr/>
                  <a:graphic xmlns:a="http://schemas.openxmlformats.org/drawingml/2006/main">
                    <a:graphicData uri="http://schemas.openxmlformats.org/drawingml/2006/picture">
                      <pic:pic xmlns:pic="http://schemas.openxmlformats.org/drawingml/2006/picture">
                        <pic:nvPicPr>
                          <pic:cNvPr id="19" name="Picture_122_SpCnt_7"/>
                          <pic:cNvPicPr/>
                        </pic:nvPicPr>
                        <pic:blipFill>
                          <a:blip r:embed="rId5"/>
                          <a:stretch>
                            <a:fillRect/>
                          </a:stretch>
                        </pic:blipFill>
                        <pic:spPr>
                          <a:xfrm>
                            <a:off x="0" y="0"/>
                            <a:ext cx="8890" cy="30480"/>
                          </a:xfrm>
                          <a:prstGeom prst="rect">
                            <a:avLst/>
                          </a:prstGeom>
                          <a:noFill/>
                          <a:ln>
                            <a:noFill/>
                          </a:ln>
                        </pic:spPr>
                      </pic:pic>
                    </a:graphicData>
                  </a:graphic>
                </wp:anchor>
              </w:drawing>
            </w:r>
            <w:r>
              <w:rPr>
                <w:rFonts w:hint="eastAsia" w:ascii="宋体" w:hAnsi="宋体" w:eastAsia="宋体" w:cs="宋体"/>
                <w:color w:val="auto"/>
                <w:kern w:val="0"/>
                <w:sz w:val="18"/>
                <w:szCs w:val="18"/>
                <w:lang w:bidi="ar"/>
              </w:rPr>
              <w:t>86寸触控一体机</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6819045A">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bdr w:val="single" w:color="000000" w:sz="4" w:space="0"/>
                <w:lang w:val="en-US" w:eastAsia="zh-CN" w:bidi="ar"/>
              </w:rPr>
              <w:drawing>
                <wp:anchor distT="0" distB="0" distL="114300" distR="114300" simplePos="0" relativeHeight="251674624" behindDoc="0" locked="0" layoutInCell="1" allowOverlap="1">
                  <wp:simplePos x="0" y="0"/>
                  <wp:positionH relativeFrom="column">
                    <wp:posOffset>0</wp:posOffset>
                  </wp:positionH>
                  <wp:positionV relativeFrom="paragraph">
                    <wp:posOffset>0</wp:posOffset>
                  </wp:positionV>
                  <wp:extent cx="1905" cy="30480"/>
                  <wp:effectExtent l="0" t="0" r="0" b="0"/>
                  <wp:wrapNone/>
                  <wp:docPr id="14" name="图片 9"/>
                  <wp:cNvGraphicFramePr/>
                  <a:graphic xmlns:a="http://schemas.openxmlformats.org/drawingml/2006/main">
                    <a:graphicData uri="http://schemas.openxmlformats.org/drawingml/2006/picture">
                      <pic:pic xmlns:pic="http://schemas.openxmlformats.org/drawingml/2006/picture">
                        <pic:nvPicPr>
                          <pic:cNvPr id="14" name="图片 9"/>
                          <pic:cNvPicPr/>
                        </pic:nvPicPr>
                        <pic:blipFill>
                          <a:blip r:embed="rId5"/>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auto"/>
                <w:kern w:val="0"/>
                <w:sz w:val="18"/>
                <w:szCs w:val="18"/>
                <w:u w:val="none"/>
                <w:bdr w:val="single" w:color="000000" w:sz="4" w:space="0"/>
                <w:lang w:val="en-US" w:eastAsia="zh-CN" w:bidi="ar"/>
              </w:rPr>
              <w:drawing>
                <wp:anchor distT="0" distB="0" distL="114300" distR="114300" simplePos="0" relativeHeight="251673600" behindDoc="0" locked="0" layoutInCell="1" allowOverlap="1">
                  <wp:simplePos x="0" y="0"/>
                  <wp:positionH relativeFrom="column">
                    <wp:posOffset>0</wp:posOffset>
                  </wp:positionH>
                  <wp:positionV relativeFrom="paragraph">
                    <wp:posOffset>0</wp:posOffset>
                  </wp:positionV>
                  <wp:extent cx="1905" cy="30480"/>
                  <wp:effectExtent l="0" t="0" r="0" b="0"/>
                  <wp:wrapNone/>
                  <wp:docPr id="16" name="Picture_122_SpCnt_3"/>
                  <wp:cNvGraphicFramePr/>
                  <a:graphic xmlns:a="http://schemas.openxmlformats.org/drawingml/2006/main">
                    <a:graphicData uri="http://schemas.openxmlformats.org/drawingml/2006/picture">
                      <pic:pic xmlns:pic="http://schemas.openxmlformats.org/drawingml/2006/picture">
                        <pic:nvPicPr>
                          <pic:cNvPr id="16" name="Picture_122_SpCnt_3"/>
                          <pic:cNvPicPr/>
                        </pic:nvPicPr>
                        <pic:blipFill>
                          <a:blip r:embed="rId5"/>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auto"/>
                <w:kern w:val="0"/>
                <w:sz w:val="18"/>
                <w:szCs w:val="18"/>
                <w:u w:val="none"/>
                <w:lang w:val="en-US" w:eastAsia="zh-CN" w:bidi="ar"/>
              </w:rPr>
              <w:t>一、技术参数要求：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1.要求采用一体化设计，集成显示屏、电脑主机、音响、摄像头、内置麦克风等设备模块；</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2.显示屏尺寸≥86英寸，显示分辨率不低于3840×2160，屏体对比度不低于5000:1；</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3.屏体表面采用防眩光钢化玻璃保护，支持Windows系统和Android系统中进行20点或以上触控书写，触摸响应时间≤5ms；</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▲4.为便于外接信号输入且便于识别，前置接口不少于1路HDMI和2路双通道USB3.0接口且均带有中文标识；（提供第三方检测机构出具的具有 CMA 或 CNAS 标识的检验（测）报告复印件，并加盖制造商公章）</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5.产品内置 2.4G/5G双频WiFi，双系统均支持WiFi 上网，内置蓝牙工作距离不低于12米；</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6.为保护师生视力健康，产品采用物理防蓝光设计，无需其他操作开机即达到防蓝光效果；</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7.产品采用Windows+ Android的双系统配置，其中Android系统版本不低于Android 11.0；其内存≥2GB，存储空间≥8GB；</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8.产品内置扬声器不低于40W；</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9.整机内置非独立摄像头，可用于远程巡课，可AI识别人像；可拍摄≥1300万像素数的照片，摄像头视场角≥135度产品内置摄像头；</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10.内置电脑采用通用的80pin标准接口，处理器配置不低于Intel Core I5十一代处理器；内存不低于8G；硬盘不低于256G-SSD 固态硬盘。</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11.产品提供多种智能手势操作，包含通过手势调用中控菜单，调用悬浮菜单，屏幕下移等，从而便于快速实现亮度、声音等功能的调节，切换至展台、桌面等功能；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12.产品具备单独听功能，支持在熄屏状态下仍能够播放音频；</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▲13.前置物理按键可实现常用的开关机、音量调节、截屏、启动录屏、调取多任务、关闭窗口等功能，其数量不少于8个；并带有中文标识或简易标识，方便快速识别使用。（提供第三方检测机构出具的具有 CMA 或 CNAS 标识的检验（测）报告复印件，并加盖制造商公章）</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14.为快速解决系统故障问题，产品支持通过前置还原按键实现电脑系统一键还原，还原按键采用针孔式设计，进行系统还原设置时，通过前置还原按键即可实现，无需在屏幕触控操作，防止身体碰触发生误操作；</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15.内置无线传屏接收端，Android和Windows系统下无需外部接收组件，无线传屏发射器与交互设备匹配后可实现无线传屏功能，可将外部电脑设备的视频、音频、触控、信号无线传至交互设备上，支持双向传输；</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16.任意信号通道下，可通过手势在屏幕显示区域任何位置快速调取软控菜单，菜单可实现：批注、启动展台等功能，其功能模块支持替换，可选择功能不少于25个，满足不同使用需求；（提供第三方检测机构出具的具有 CMA 或 CNAS 标识的检验（测）报告复印件，并加盖制造商公章）</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17.屏幕下降：可通过软件快捷键或手势等不少于三种方式实现屏幕显示画面下降，并可进行触控，以适应不同教师身高；</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二、软件功能要求：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1.ppt全屏播放时可自动开启工具菜单，提供PPT课件的播放控制(如前后翻页)及不少于7种书写笔等功能。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移动教学支持手机、pad移动端、电脑与大屏连接后，可实现常用功能如文件上传、投屏、等功能。可将移动端显示内容一键投入大屏中，也可将大屏画面投到移动端，此时移动端可对大屏进行控制；支持同时上传多张照片进行双向批注书写等；</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3.老师个人账号无需完成特定任务，即可获取不少于 200GB云端存储空间；</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4.提供知识配对、分类达人、填空达人、连词成句、翻翻卡、消消乐9种类型的课堂活动，老师备课时通过活动模板即可快速制作活动，支持编辑好的课堂活动添加到我的课堂活动，实现任意课件的随时引用。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5.提供3种活动组件，包括骰子、大转盘、随机数，活动组件可选择不同的外观，可设置转盘个数和随机数上限，帮助老师活跃课堂气氛。</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授课时支持从软件工具条直接打开本机文件、U盘文件等本地文件；不需导入，可直接打开本地视频、音频、图片、离线教学课件、ppt&amp;pptx、PDF文件、doc&amp;docx文件及swf文件。（提供第三方检测机构出具的具有 CMA 或 CNAS 标识的检验(测) 报告复印件， 并加盖制造商公章）</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支持免登录打开离线课件，直接进入课件全屏播放状态；登录后，可返回备课编辑状态。可通过点击或触摸屏幕实现动画的显示和翻页，同时支持通过翻页笔翻页，还支持点击工具条进行课件的前翻页和后翻页，支持手势滑动上下翻页；</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8.提供不少于20个蒙层模板，老师备课时选择合适的蒙层图片遮住元素，授课时用橡皮擦除蒙层，展现被蒙住的元素；</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课堂评价支持对全班、单个或多个学生进行评价，评价结果可撤回。老师可通过移动端、PC端及网页端对学生进行行为评价打分，软件支持随机抽选学生进行评价，支持计时器功能，包括秒表和倒计时，支持家长通过移动端查看学生的近期表现。</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10.支持无需额外下载视频播放软件即可一键即达，快速进入CCTV官网频道在线播放，如新闻、科教、法制等，便于师生快速了解实时新闻、科教资讯、校园动态等；（提供第三方检测机构出具的具有 CMA 或 CNAS 标识的检验（测）报告复印件，并加盖制造商公章）</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6DE69D09">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台</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5C115BAD">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w:t>
            </w:r>
          </w:p>
        </w:tc>
      </w:tr>
      <w:tr w14:paraId="530CCCD5">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1B5762C8">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10</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1CD523BB">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光能教学板</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4A7368C7">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一、硬件要求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1、光能教学板产品符合GB28231-2011《书写板安全卫生要求》。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2、整体结构上采用左、右各一块光能教学板+触控一体机的组合方式（ABA放置样式）。单块光能黑板产品尺寸≥1290（长）*1158（高）mm。</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3、光能教学板依靠压力改变液晶分子排布，使用任何硬度适中的物体均可书写，书写压力50-300g，笔迹粗细大于4mm，书写延时≤7ms，无需任何耗材，杜绝粉尘污染，消除粉尘对老师和学生构成的健康危害。</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光能黑板应无频闪、无背光，上膜不应产生眩光。板书笔迹可视距离40米，可视角度≥150°，对比度≥150:1。（提供中国合格评定国家认可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5、一键擦除：光能教学板正面配有一个擦除按键，按下瞬间清除黑板字迹，减少师生擦拭黑板负担。为提高教学效率，一键清除时间不大于0.2秒。</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6、局部擦除：可使用板擦和手势对错误字迹进行局部擦除，擦除精度方格小于10mm*10mm。光能教学板具有独立供电装置，可在液晶屏关机的情况下独立使用，不影响局部擦除功能。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▲7、光能黑板的光泽度不高于30光泽单位。（提供中国合格评定国家认可委员会认证的检测机构所出具的检测报告复印件并加盖厂家公章，并提供全国认证认可信息公共服务平台对应检测报告查询记录截图。）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8、光能教学板书写及显示过程无需任何电量，仅擦除时消耗微弱电量；为保证停电情况下仍可正常使用，内置可拆卸18650型号充电锂电池，电池容量≥2600mAh。</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书写膜的透光率不低于87%，雾度不高于40%。（提供中国合格评定国家认可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10、设备内提供的电池组保护电路，符合标准要求，并通过带二次锂电池的设备的充电安全防护。黑板通过恒定力和冲击试验，机械强度符合标准要求。（提供中国合格评定国家认可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11、板内设有电压补偿机制，可以通过手势按压书写板板面的特定位置，控制书写板内部电压高低，以调节擦除灵敏度。</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12、光能黑板通过低温-30℃，高温80℃，恒定湿热40℃、95%RH测试，产品外观无变形、损坏等现象，通电运行正常。（提供中国合格评定国家认可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13、边框采用铝合金材质，坚固耐用，具有较好的耐腐蚀特性，延长了产品使用寿命。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14、采用可调节的设计，离墙距离调节范围110-150mm,上下高度调节范围大于50mm，确保与液晶大屏整齐一致，也可将下调节部件打开做为置物托板使用。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15、设计简洁，采用一体式按键指示灯，可通过不同颜色、闪烁等方式表示擦除、电量不足等工作状态。每块光能黑板具备DC接口*2和USB接口*2，方便用户使用。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16、采用挂接的安装方式，杜绝外部大框安装，装卸方便，后期易维护。</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17、为让老师能够快速调取交互软件，方便使用功能，光能黑板上应具有实用快捷键。</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18、日常维护：使用日常洗涤剂或消毒剂温水，擦拭书写板的书写面后，书写面应不变色，表皮不脱落。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二、同传软件要求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1、左、右光教学板可与触控一体机进行互动，将光能教学板的内容与触控一体机无缝连接，教师在光能教学板上的书写内容可同步显示在触控一体机上。</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2、为便于老师记忆和操作，板书界面与电脑桌面/PPT课件之间，采用同一个按键来回切换，方便快捷。</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3、光能教学板具有两种书写记录模式，支持单板书写记录内容为一个单页面，也可以支持多板同时书写时记录在一个页面上；</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4、当不需要板书传输到软件显示界面时，可以使用分屏功能，断开黑板与大屏的传输，使其成为互不影响的多块黑板。</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5、设置不同的软件端笔迹颜色，可实现老师对于教学重点的标识及批注；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6、在保存的板书当中进行翻页，查找已经存储的板书内容。</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7、能直接预览所有存储的板书；</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8、黑板的板书即时保存到软件当中，通过翻页可找回并显示，保存时不清除黑板的板书内容。</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9、对板书的电子文档进行分享，可以存储在本地PC端，同时生产二维码，便于师生扫码获取。</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10、可以对课堂的板书和讲解进行录制，生成视频文档，利于学生课后复习回放。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三、其他要求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为确保产品为全新，质量和功能稳定性，签订合同后,要求提供厂家出具的技术参数确认表、售后服务保证原件、供货证明原件，否则采购方将不予验收通过。供应商对其所销售的货物应当享有知识产权或经权利人合法授权，保证没有侵犯任何第三人的知识产权等权利。因违反前述约定对第三人构成侵权的，应当由供应商向第三人承担法律责任;采购人依法向第三人赔偿后，有权向供应商追偿。采购方有其他损失的，供应商应当赔偿。</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09611FE1">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套</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5FFA082">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w:t>
            </w:r>
          </w:p>
        </w:tc>
      </w:tr>
      <w:tr w14:paraId="7692BFDE">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2C0E410A">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11</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456FEDAE">
            <w:pPr>
              <w:widowControl/>
              <w:jc w:val="center"/>
              <w:textAlignment w:val="center"/>
              <w:rPr>
                <w:rFonts w:hint="eastAsia" w:ascii="宋体" w:hAnsi="宋体" w:eastAsia="宋体" w:cs="宋体"/>
                <w:color w:val="auto"/>
                <w:kern w:val="0"/>
                <w:sz w:val="18"/>
                <w:szCs w:val="18"/>
                <w:lang w:bidi="ar"/>
              </w:rPr>
            </w:pPr>
          </w:p>
          <w:p w14:paraId="0042C51A">
            <w:pPr>
              <w:widowControl/>
              <w:jc w:val="center"/>
              <w:textAlignment w:val="center"/>
              <w:rPr>
                <w:rFonts w:hint="eastAsia" w:ascii="宋体" w:hAnsi="宋体" w:eastAsia="宋体" w:cs="宋体"/>
                <w:color w:val="auto"/>
                <w:kern w:val="0"/>
                <w:sz w:val="18"/>
                <w:szCs w:val="18"/>
                <w:lang w:bidi="ar"/>
              </w:rPr>
            </w:pPr>
          </w:p>
          <w:p w14:paraId="1EA188E3">
            <w:pPr>
              <w:widowControl/>
              <w:jc w:val="center"/>
              <w:textAlignment w:val="center"/>
              <w:rPr>
                <w:rFonts w:hint="eastAsia" w:ascii="宋体" w:hAnsi="宋体" w:eastAsia="宋体" w:cs="宋体"/>
                <w:color w:val="auto"/>
                <w:kern w:val="0"/>
                <w:sz w:val="18"/>
                <w:szCs w:val="18"/>
                <w:lang w:bidi="ar"/>
              </w:rPr>
            </w:pPr>
          </w:p>
          <w:p w14:paraId="3D0D4F85">
            <w:pPr>
              <w:widowControl/>
              <w:jc w:val="center"/>
              <w:textAlignment w:val="center"/>
              <w:rPr>
                <w:rFonts w:hint="eastAsia" w:ascii="宋体" w:hAnsi="宋体" w:eastAsia="宋体" w:cs="宋体"/>
                <w:color w:val="auto"/>
                <w:kern w:val="0"/>
                <w:sz w:val="18"/>
                <w:szCs w:val="18"/>
                <w:lang w:bidi="ar"/>
              </w:rPr>
            </w:pPr>
          </w:p>
          <w:p w14:paraId="70431B45">
            <w:pPr>
              <w:widowControl/>
              <w:jc w:val="center"/>
              <w:textAlignment w:val="center"/>
              <w:rPr>
                <w:rFonts w:hint="eastAsia" w:ascii="宋体" w:hAnsi="宋体" w:eastAsia="宋体" w:cs="宋体"/>
                <w:color w:val="auto"/>
                <w:kern w:val="0"/>
                <w:sz w:val="18"/>
                <w:szCs w:val="18"/>
                <w:lang w:bidi="ar"/>
              </w:rPr>
            </w:pPr>
          </w:p>
          <w:p w14:paraId="67ECC7FD">
            <w:pPr>
              <w:widowControl/>
              <w:jc w:val="center"/>
              <w:textAlignment w:val="center"/>
              <w:rPr>
                <w:rFonts w:hint="eastAsia" w:ascii="宋体" w:hAnsi="宋体" w:eastAsia="宋体" w:cs="宋体"/>
                <w:color w:val="auto"/>
                <w:kern w:val="0"/>
                <w:sz w:val="18"/>
                <w:szCs w:val="18"/>
                <w:lang w:bidi="ar"/>
              </w:rPr>
            </w:pPr>
          </w:p>
          <w:p w14:paraId="129BA09F">
            <w:pPr>
              <w:widowControl/>
              <w:jc w:val="center"/>
              <w:textAlignment w:val="center"/>
              <w:rPr>
                <w:rFonts w:hint="eastAsia" w:ascii="宋体" w:hAnsi="宋体" w:eastAsia="宋体" w:cs="宋体"/>
                <w:color w:val="auto"/>
                <w:kern w:val="0"/>
                <w:sz w:val="18"/>
                <w:szCs w:val="18"/>
                <w:lang w:bidi="ar"/>
              </w:rPr>
            </w:pPr>
          </w:p>
          <w:p w14:paraId="7F72EB6D">
            <w:pPr>
              <w:widowControl/>
              <w:jc w:val="center"/>
              <w:textAlignment w:val="center"/>
              <w:rPr>
                <w:rFonts w:hint="eastAsia" w:ascii="宋体" w:hAnsi="宋体" w:eastAsia="宋体" w:cs="宋体"/>
                <w:color w:val="auto"/>
                <w:kern w:val="0"/>
                <w:sz w:val="18"/>
                <w:szCs w:val="18"/>
                <w:lang w:bidi="ar"/>
              </w:rPr>
            </w:pPr>
          </w:p>
          <w:p w14:paraId="7CF9BD34">
            <w:pPr>
              <w:widowControl/>
              <w:jc w:val="center"/>
              <w:textAlignment w:val="center"/>
              <w:rPr>
                <w:rFonts w:hint="eastAsia" w:ascii="宋体" w:hAnsi="宋体" w:eastAsia="宋体" w:cs="宋体"/>
                <w:color w:val="auto"/>
                <w:kern w:val="0"/>
                <w:sz w:val="18"/>
                <w:szCs w:val="18"/>
                <w:lang w:bidi="ar"/>
              </w:rPr>
            </w:pPr>
          </w:p>
          <w:p w14:paraId="0A23035B">
            <w:pPr>
              <w:widowControl/>
              <w:jc w:val="center"/>
              <w:textAlignment w:val="center"/>
              <w:rPr>
                <w:rFonts w:hint="eastAsia" w:ascii="宋体" w:hAnsi="宋体" w:eastAsia="宋体" w:cs="宋体"/>
                <w:color w:val="auto"/>
                <w:kern w:val="0"/>
                <w:sz w:val="18"/>
                <w:szCs w:val="18"/>
                <w:lang w:bidi="ar"/>
              </w:rPr>
            </w:pPr>
          </w:p>
          <w:p w14:paraId="28328EA6">
            <w:pPr>
              <w:widowControl/>
              <w:jc w:val="center"/>
              <w:textAlignment w:val="center"/>
              <w:rPr>
                <w:rFonts w:hint="eastAsia" w:ascii="宋体" w:hAnsi="宋体" w:eastAsia="宋体" w:cs="宋体"/>
                <w:color w:val="auto"/>
                <w:kern w:val="0"/>
                <w:sz w:val="18"/>
                <w:szCs w:val="18"/>
                <w:lang w:bidi="ar"/>
              </w:rPr>
            </w:pPr>
          </w:p>
          <w:p w14:paraId="44695A55">
            <w:pPr>
              <w:widowControl/>
              <w:jc w:val="center"/>
              <w:textAlignment w:val="center"/>
              <w:rPr>
                <w:rFonts w:hint="eastAsia" w:ascii="宋体" w:hAnsi="宋体" w:eastAsia="宋体" w:cs="宋体"/>
                <w:color w:val="auto"/>
                <w:kern w:val="0"/>
                <w:sz w:val="18"/>
                <w:szCs w:val="18"/>
                <w:lang w:bidi="ar"/>
              </w:rPr>
            </w:pPr>
          </w:p>
          <w:p w14:paraId="19EEEDCA">
            <w:pPr>
              <w:widowControl/>
              <w:jc w:val="center"/>
              <w:textAlignment w:val="center"/>
              <w:rPr>
                <w:rFonts w:hint="eastAsia" w:ascii="宋体" w:hAnsi="宋体" w:eastAsia="宋体" w:cs="宋体"/>
                <w:color w:val="auto"/>
                <w:kern w:val="0"/>
                <w:sz w:val="18"/>
                <w:szCs w:val="18"/>
                <w:lang w:bidi="ar"/>
              </w:rPr>
            </w:pPr>
          </w:p>
          <w:p w14:paraId="29887452">
            <w:pPr>
              <w:widowControl/>
              <w:jc w:val="center"/>
              <w:textAlignment w:val="center"/>
              <w:rPr>
                <w:rFonts w:hint="eastAsia" w:ascii="宋体" w:hAnsi="宋体" w:eastAsia="宋体" w:cs="宋体"/>
                <w:color w:val="auto"/>
                <w:kern w:val="0"/>
                <w:sz w:val="18"/>
                <w:szCs w:val="18"/>
                <w:lang w:bidi="ar"/>
              </w:rPr>
            </w:pPr>
          </w:p>
          <w:p w14:paraId="3BC5B423">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bdr w:val="single" w:color="000000" w:sz="4" w:space="0"/>
                <w:lang w:bidi="ar"/>
              </w:rPr>
              <w:drawing>
                <wp:anchor distT="0" distB="0" distL="114300" distR="114300" simplePos="0" relativeHeight="251665408" behindDoc="0" locked="0" layoutInCell="1" allowOverlap="1">
                  <wp:simplePos x="0" y="0"/>
                  <wp:positionH relativeFrom="column">
                    <wp:posOffset>85090</wp:posOffset>
                  </wp:positionH>
                  <wp:positionV relativeFrom="paragraph">
                    <wp:posOffset>0</wp:posOffset>
                  </wp:positionV>
                  <wp:extent cx="9525" cy="31115"/>
                  <wp:effectExtent l="0" t="0" r="0" b="0"/>
                  <wp:wrapNone/>
                  <wp:docPr id="17" name="Picture_122_SpCnt_9"/>
                  <wp:cNvGraphicFramePr/>
                  <a:graphic xmlns:a="http://schemas.openxmlformats.org/drawingml/2006/main">
                    <a:graphicData uri="http://schemas.openxmlformats.org/drawingml/2006/picture">
                      <pic:pic xmlns:pic="http://schemas.openxmlformats.org/drawingml/2006/picture">
                        <pic:nvPicPr>
                          <pic:cNvPr id="17" name="Picture_122_SpCnt_9"/>
                          <pic:cNvPicPr/>
                        </pic:nvPicPr>
                        <pic:blipFill>
                          <a:blip r:embed="rId5"/>
                          <a:stretch>
                            <a:fillRect/>
                          </a:stretch>
                        </pic:blipFill>
                        <pic:spPr>
                          <a:xfrm>
                            <a:off x="0" y="0"/>
                            <a:ext cx="9525" cy="31115"/>
                          </a:xfrm>
                          <a:prstGeom prst="rect">
                            <a:avLst/>
                          </a:prstGeom>
                          <a:noFill/>
                          <a:ln>
                            <a:noFill/>
                          </a:ln>
                        </pic:spPr>
                      </pic:pic>
                    </a:graphicData>
                  </a:graphic>
                </wp:anchor>
              </w:drawing>
            </w:r>
            <w:r>
              <w:rPr>
                <w:rFonts w:hint="eastAsia" w:ascii="宋体" w:hAnsi="宋体" w:eastAsia="宋体" w:cs="宋体"/>
                <w:color w:val="auto"/>
                <w:kern w:val="0"/>
                <w:sz w:val="18"/>
                <w:szCs w:val="18"/>
                <w:bdr w:val="single" w:color="000000" w:sz="4" w:space="0"/>
                <w:lang w:bidi="ar"/>
              </w:rPr>
              <w:drawing>
                <wp:anchor distT="0" distB="0" distL="114300" distR="114300" simplePos="0" relativeHeight="251666432" behindDoc="0" locked="0" layoutInCell="1" allowOverlap="1">
                  <wp:simplePos x="0" y="0"/>
                  <wp:positionH relativeFrom="column">
                    <wp:posOffset>86360</wp:posOffset>
                  </wp:positionH>
                  <wp:positionV relativeFrom="paragraph">
                    <wp:posOffset>0</wp:posOffset>
                  </wp:positionV>
                  <wp:extent cx="8890" cy="30480"/>
                  <wp:effectExtent l="0" t="0" r="0" b="0"/>
                  <wp:wrapNone/>
                  <wp:docPr id="18" name="Picture_122_SpCnt_10"/>
                  <wp:cNvGraphicFramePr/>
                  <a:graphic xmlns:a="http://schemas.openxmlformats.org/drawingml/2006/main">
                    <a:graphicData uri="http://schemas.openxmlformats.org/drawingml/2006/picture">
                      <pic:pic xmlns:pic="http://schemas.openxmlformats.org/drawingml/2006/picture">
                        <pic:nvPicPr>
                          <pic:cNvPr id="18" name="Picture_122_SpCnt_10"/>
                          <pic:cNvPicPr/>
                        </pic:nvPicPr>
                        <pic:blipFill>
                          <a:blip r:embed="rId5"/>
                          <a:stretch>
                            <a:fillRect/>
                          </a:stretch>
                        </pic:blipFill>
                        <pic:spPr>
                          <a:xfrm>
                            <a:off x="0" y="0"/>
                            <a:ext cx="8890" cy="30480"/>
                          </a:xfrm>
                          <a:prstGeom prst="rect">
                            <a:avLst/>
                          </a:prstGeom>
                          <a:noFill/>
                          <a:ln>
                            <a:noFill/>
                          </a:ln>
                        </pic:spPr>
                      </pic:pic>
                    </a:graphicData>
                  </a:graphic>
                </wp:anchor>
              </w:drawing>
            </w:r>
            <w:r>
              <w:rPr>
                <w:rFonts w:hint="eastAsia" w:ascii="宋体" w:hAnsi="宋体" w:eastAsia="宋体" w:cs="宋体"/>
                <w:color w:val="auto"/>
                <w:kern w:val="0"/>
                <w:sz w:val="18"/>
                <w:szCs w:val="18"/>
                <w:lang w:bidi="ar"/>
              </w:rPr>
              <w:t>不良信息过滤软件</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01E1976A">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bdr w:val="single" w:color="000000" w:sz="4" w:space="0"/>
                <w:lang w:val="en-US" w:eastAsia="zh-CN" w:bidi="ar"/>
              </w:rPr>
              <w:drawing>
                <wp:anchor distT="0" distB="0" distL="114300" distR="114300" simplePos="0" relativeHeight="251675648" behindDoc="0" locked="0" layoutInCell="1" allowOverlap="1">
                  <wp:simplePos x="0" y="0"/>
                  <wp:positionH relativeFrom="column">
                    <wp:posOffset>0</wp:posOffset>
                  </wp:positionH>
                  <wp:positionV relativeFrom="paragraph">
                    <wp:posOffset>0</wp:posOffset>
                  </wp:positionV>
                  <wp:extent cx="1905" cy="30480"/>
                  <wp:effectExtent l="0" t="0" r="0" b="0"/>
                  <wp:wrapNone/>
                  <wp:docPr id="20" name="Picture_122_SpCnt_4"/>
                  <wp:cNvGraphicFramePr/>
                  <a:graphic xmlns:a="http://schemas.openxmlformats.org/drawingml/2006/main">
                    <a:graphicData uri="http://schemas.openxmlformats.org/drawingml/2006/picture">
                      <pic:pic xmlns:pic="http://schemas.openxmlformats.org/drawingml/2006/picture">
                        <pic:nvPicPr>
                          <pic:cNvPr id="20" name="Picture_122_SpCnt_4"/>
                          <pic:cNvPicPr/>
                        </pic:nvPicPr>
                        <pic:blipFill>
                          <a:blip r:embed="rId5"/>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auto"/>
                <w:kern w:val="0"/>
                <w:sz w:val="18"/>
                <w:szCs w:val="18"/>
                <w:u w:val="none"/>
                <w:lang w:val="en-US" w:eastAsia="zh-CN" w:bidi="ar"/>
              </w:rPr>
              <w:t>1、产品支持对终端系统广告弹窗实时进行内容及特征分析，并对包含低俗信息的广告弹窗进行拦载处理，全面护航教学设备绿色上网，保障教师的正常授课环境;</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产品对网上内容进行实时分析，并通过网址过滤、关键字过滤、图像过滤针对网上内容中包括的不良信息访问进行实时拦截；识别策略支持高、中、低级别设置；产品支持用户手动设置黑、白名单及关键字及进程黑名单（需提供图像过滤策略设置截图、网址过滤策略设置截图及手动设置黑、白名单、关键字截图证明文件或产品功能检测报告加盖厂家或者投标人公章）；</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3、产品支持对终端运行的在线游戏进行策略分析并实时阻止游戏站点访问；</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产品具备对教学设备使用时间进行管理的功能，根据策略限制终端使用时间并进行必要的提示及设备处置，安全、合理使用设备以保护青少年防止网络沉迷（需提供设备使用时间策略设置功能及终端设置限制使用时间截图证明文件并加盖厂家或者投标人公章）；</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5、产品自身包含黑、白名单及关键字资源，并支持用户自定义过滤策略，用户自定义策略优先级最高；</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产品提供日志管理功能，实时记录上网浏览信息及浏览时间、以及不良信息访问及过滤记录；产品支持按策略进行屏幕记录，详细记录设备使用过程（需提供日志分类查看功能及日志管理功能截图证明文件并加盖厂家或者投标人公章）；</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7、产品需提供管理员及普通权限，管理权限可对软件进行统一管理操作及卸载，产品支持管理员及学生角色对应策略实时切换实时升效；</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8、产品最高支持到WIN11操作系统，支持32及64位系统，产品支持运行在无盘和有盘环境下，并支持云桌面系统运行；</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31B2638B">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套</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94A9644">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w:t>
            </w:r>
          </w:p>
        </w:tc>
      </w:tr>
      <w:tr w14:paraId="5FF485E8">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69A2B513">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12</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1B1C883E">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视频展台</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7DAC299F">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硬件部分：</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1.壁挂式安装，防盗防破坏。</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2.无锐角无利边设计，有效防止师生碰伤、划伤。</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3.托板尺寸≥A4面积，收起时小巧不占空间，高效利用挂墙面积。</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4.采用USB高速接口，单根USB线实现供电、高清数据传输需求。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5.采用800W像素自动对焦摄像头，可拍摄A4画幅。</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6.展台按键采用触摸按键，可实现一键启动展台画面、画面放大、画面缩小、画面旋转、拍照截图等功能，同时也支持在一体机或电脑上进行同样的操作。</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7.整机自带均光罩LED补光灯，光线不足时可进行亮度补充，亮度均匀。</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8.外壳在摄像头部分带保护镜片密封，防止灰尘沾染摄像头，防护等级达到IP4X级别。</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2F08C36B">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套</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2C84694">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w:t>
            </w:r>
          </w:p>
        </w:tc>
      </w:tr>
      <w:tr w14:paraId="27965F23">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4882388A">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13</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4ACDE2D3">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bdr w:val="single" w:color="000000" w:sz="4" w:space="0"/>
                <w:lang w:bidi="ar"/>
              </w:rPr>
              <w:drawing>
                <wp:anchor distT="0" distB="0" distL="114300" distR="114300" simplePos="0" relativeHeight="251667456" behindDoc="0" locked="0" layoutInCell="1" allowOverlap="1">
                  <wp:simplePos x="0" y="0"/>
                  <wp:positionH relativeFrom="column">
                    <wp:posOffset>86360</wp:posOffset>
                  </wp:positionH>
                  <wp:positionV relativeFrom="paragraph">
                    <wp:posOffset>0</wp:posOffset>
                  </wp:positionV>
                  <wp:extent cx="8890" cy="30480"/>
                  <wp:effectExtent l="0" t="0" r="0" b="0"/>
                  <wp:wrapNone/>
                  <wp:docPr id="21" name="Picture_122_SpCnt_12"/>
                  <wp:cNvGraphicFramePr/>
                  <a:graphic xmlns:a="http://schemas.openxmlformats.org/drawingml/2006/main">
                    <a:graphicData uri="http://schemas.openxmlformats.org/drawingml/2006/picture">
                      <pic:pic xmlns:pic="http://schemas.openxmlformats.org/drawingml/2006/picture">
                        <pic:nvPicPr>
                          <pic:cNvPr id="21" name="Picture_122_SpCnt_12"/>
                          <pic:cNvPicPr/>
                        </pic:nvPicPr>
                        <pic:blipFill>
                          <a:blip r:embed="rId5"/>
                          <a:stretch>
                            <a:fillRect/>
                          </a:stretch>
                        </pic:blipFill>
                        <pic:spPr>
                          <a:xfrm>
                            <a:off x="0" y="0"/>
                            <a:ext cx="8890" cy="30480"/>
                          </a:xfrm>
                          <a:prstGeom prst="rect">
                            <a:avLst/>
                          </a:prstGeom>
                          <a:noFill/>
                          <a:ln>
                            <a:noFill/>
                          </a:ln>
                        </pic:spPr>
                      </pic:pic>
                    </a:graphicData>
                  </a:graphic>
                </wp:anchor>
              </w:drawing>
            </w:r>
            <w:r>
              <w:rPr>
                <w:rFonts w:hint="eastAsia" w:ascii="宋体" w:hAnsi="宋体" w:eastAsia="宋体" w:cs="宋体"/>
                <w:color w:val="auto"/>
                <w:kern w:val="0"/>
                <w:sz w:val="18"/>
                <w:szCs w:val="18"/>
                <w:lang w:bidi="ar"/>
              </w:rPr>
              <w:t xml:space="preserve">电源线 </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1D25E3CD">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bdr w:val="single" w:color="000000" w:sz="4" w:space="0"/>
                <w:lang w:val="en-US" w:eastAsia="zh-CN" w:bidi="ar"/>
              </w:rPr>
              <w:drawing>
                <wp:anchor distT="0" distB="0" distL="114300" distR="114300" simplePos="0" relativeHeight="251677696" behindDoc="0" locked="0" layoutInCell="1" allowOverlap="1">
                  <wp:simplePos x="0" y="0"/>
                  <wp:positionH relativeFrom="column">
                    <wp:posOffset>0</wp:posOffset>
                  </wp:positionH>
                  <wp:positionV relativeFrom="paragraph">
                    <wp:posOffset>0</wp:posOffset>
                  </wp:positionV>
                  <wp:extent cx="1905" cy="30480"/>
                  <wp:effectExtent l="0" t="0" r="0" b="0"/>
                  <wp:wrapNone/>
                  <wp:docPr id="8" name="Picture_122_SpCnt_5"/>
                  <wp:cNvGraphicFramePr/>
                  <a:graphic xmlns:a="http://schemas.openxmlformats.org/drawingml/2006/main">
                    <a:graphicData uri="http://schemas.openxmlformats.org/drawingml/2006/picture">
                      <pic:pic xmlns:pic="http://schemas.openxmlformats.org/drawingml/2006/picture">
                        <pic:nvPicPr>
                          <pic:cNvPr id="8" name="Picture_122_SpCnt_5"/>
                          <pic:cNvPicPr/>
                        </pic:nvPicPr>
                        <pic:blipFill>
                          <a:blip r:embed="rId5"/>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auto"/>
                <w:kern w:val="0"/>
                <w:sz w:val="18"/>
                <w:szCs w:val="18"/>
                <w:u w:val="none"/>
                <w:bdr w:val="single" w:color="000000" w:sz="4" w:space="0"/>
                <w:lang w:val="en-US" w:eastAsia="zh-CN" w:bidi="ar"/>
              </w:rPr>
              <w:drawing>
                <wp:anchor distT="0" distB="0" distL="114300" distR="114300" simplePos="0" relativeHeight="251676672" behindDoc="0" locked="0" layoutInCell="1" allowOverlap="1">
                  <wp:simplePos x="0" y="0"/>
                  <wp:positionH relativeFrom="column">
                    <wp:posOffset>0</wp:posOffset>
                  </wp:positionH>
                  <wp:positionV relativeFrom="paragraph">
                    <wp:posOffset>0</wp:posOffset>
                  </wp:positionV>
                  <wp:extent cx="1905" cy="30480"/>
                  <wp:effectExtent l="0" t="0" r="0" b="0"/>
                  <wp:wrapNone/>
                  <wp:docPr id="9" name="Picture_122_SpCnt_6"/>
                  <wp:cNvGraphicFramePr/>
                  <a:graphic xmlns:a="http://schemas.openxmlformats.org/drawingml/2006/main">
                    <a:graphicData uri="http://schemas.openxmlformats.org/drawingml/2006/picture">
                      <pic:pic xmlns:pic="http://schemas.openxmlformats.org/drawingml/2006/picture">
                        <pic:nvPicPr>
                          <pic:cNvPr id="9" name="Picture_122_SpCnt_6"/>
                          <pic:cNvPicPr/>
                        </pic:nvPicPr>
                        <pic:blipFill>
                          <a:blip r:embed="rId5"/>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auto"/>
                <w:kern w:val="0"/>
                <w:sz w:val="18"/>
                <w:szCs w:val="18"/>
                <w:u w:val="none"/>
                <w:lang w:val="en-US" w:eastAsia="zh-CN" w:bidi="ar"/>
              </w:rPr>
              <w:t>3X2.5平方</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56313304">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米</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5E61407">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700</w:t>
            </w:r>
          </w:p>
        </w:tc>
      </w:tr>
      <w:tr w14:paraId="3A901DDB">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0A35AA6D">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14</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60BC4D57">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电源线 </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1163D23E">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3X6平方</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6C5D325F">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米</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3C4E521">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120</w:t>
            </w:r>
          </w:p>
        </w:tc>
      </w:tr>
      <w:tr w14:paraId="0B7205A3">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276802D6">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15</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7CF6B956">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镀锌桥架</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5017850F">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100X100X1.0</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251D73BD">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米</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E7F24B7">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170</w:t>
            </w:r>
          </w:p>
        </w:tc>
      </w:tr>
      <w:tr w14:paraId="64DE5FD2">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0CE972EA">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16</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38615443">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多功能插座</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7895251B">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多功能插座</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16A17B97">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套</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0E11BC5">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101</w:t>
            </w:r>
          </w:p>
        </w:tc>
      </w:tr>
      <w:tr w14:paraId="605E764D">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2152732B">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17</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11023386">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六类网线</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726B04BC">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六类网线</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68F24E2E">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箱</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183310F">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w:t>
            </w:r>
          </w:p>
        </w:tc>
      </w:tr>
      <w:tr w14:paraId="1EB69B7C">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75D8A8AA">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18</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33469BDF">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水晶头</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71EAD7E0">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六类水晶头</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389BD97B">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盒</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0395CB3">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4</w:t>
            </w:r>
          </w:p>
        </w:tc>
      </w:tr>
      <w:tr w14:paraId="59781943">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0B1F719A">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19</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2DC3C395">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PVC线管</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6AFC1F6B">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PVC线管</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3AFC553B">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米</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3DDCA79">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140</w:t>
            </w:r>
          </w:p>
        </w:tc>
      </w:tr>
      <w:tr w14:paraId="793CB8CB">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751EDAC0">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20</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58CF1A5F">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综合布线</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758DF0DD">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强弱电综合布线，供电、网络(含胶布、音频线等辅材，设备安装调试、培训、人工费用等）</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46224525">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点</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461EA92">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101</w:t>
            </w:r>
          </w:p>
        </w:tc>
      </w:tr>
      <w:tr w14:paraId="6A129CB7">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0CC01C58">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21</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62771DAE">
            <w:pPr>
              <w:widowControl/>
              <w:jc w:val="center"/>
              <w:textAlignment w:val="center"/>
              <w:rPr>
                <w:rFonts w:hint="eastAsia" w:ascii="宋体" w:hAnsi="宋体" w:eastAsia="宋体" w:cs="宋体"/>
                <w:color w:val="auto"/>
                <w:kern w:val="0"/>
                <w:sz w:val="18"/>
                <w:szCs w:val="18"/>
                <w:lang w:bidi="ar"/>
              </w:rPr>
            </w:pPr>
          </w:p>
          <w:p w14:paraId="61C21E13">
            <w:pPr>
              <w:widowControl/>
              <w:jc w:val="center"/>
              <w:textAlignment w:val="center"/>
              <w:rPr>
                <w:rFonts w:hint="eastAsia" w:ascii="宋体" w:hAnsi="宋体" w:eastAsia="宋体" w:cs="宋体"/>
                <w:color w:val="auto"/>
                <w:kern w:val="0"/>
                <w:sz w:val="18"/>
                <w:szCs w:val="18"/>
                <w:lang w:bidi="ar"/>
              </w:rPr>
            </w:pPr>
          </w:p>
          <w:p w14:paraId="1BE2C1D9">
            <w:pPr>
              <w:widowControl/>
              <w:jc w:val="center"/>
              <w:textAlignment w:val="center"/>
              <w:rPr>
                <w:rFonts w:hint="eastAsia" w:ascii="宋体" w:hAnsi="宋体" w:eastAsia="宋体" w:cs="宋体"/>
                <w:color w:val="auto"/>
                <w:kern w:val="0"/>
                <w:sz w:val="18"/>
                <w:szCs w:val="18"/>
                <w:lang w:bidi="ar"/>
              </w:rPr>
            </w:pPr>
          </w:p>
          <w:p w14:paraId="71F31D77">
            <w:pPr>
              <w:widowControl/>
              <w:jc w:val="center"/>
              <w:textAlignment w:val="center"/>
              <w:rPr>
                <w:rFonts w:hint="eastAsia" w:ascii="宋体" w:hAnsi="宋体" w:eastAsia="宋体" w:cs="宋体"/>
                <w:color w:val="auto"/>
                <w:kern w:val="0"/>
                <w:sz w:val="18"/>
                <w:szCs w:val="18"/>
                <w:lang w:bidi="ar"/>
              </w:rPr>
            </w:pPr>
          </w:p>
          <w:p w14:paraId="72EF4523">
            <w:pPr>
              <w:widowControl/>
              <w:jc w:val="center"/>
              <w:textAlignment w:val="center"/>
              <w:rPr>
                <w:rFonts w:hint="eastAsia" w:ascii="宋体" w:hAnsi="宋体" w:eastAsia="宋体" w:cs="宋体"/>
                <w:color w:val="auto"/>
                <w:kern w:val="0"/>
                <w:sz w:val="18"/>
                <w:szCs w:val="18"/>
                <w:lang w:bidi="ar"/>
              </w:rPr>
            </w:pPr>
          </w:p>
          <w:p w14:paraId="1CF07493">
            <w:pPr>
              <w:widowControl/>
              <w:jc w:val="center"/>
              <w:textAlignment w:val="center"/>
              <w:rPr>
                <w:rFonts w:hint="eastAsia" w:ascii="宋体" w:hAnsi="宋体" w:eastAsia="宋体" w:cs="宋体"/>
                <w:color w:val="auto"/>
                <w:kern w:val="0"/>
                <w:sz w:val="18"/>
                <w:szCs w:val="18"/>
                <w:lang w:bidi="ar"/>
              </w:rPr>
            </w:pPr>
          </w:p>
          <w:p w14:paraId="004710FD">
            <w:pPr>
              <w:widowControl/>
              <w:jc w:val="center"/>
              <w:textAlignment w:val="center"/>
              <w:rPr>
                <w:rFonts w:hint="eastAsia" w:ascii="宋体" w:hAnsi="宋体" w:eastAsia="宋体" w:cs="宋体"/>
                <w:color w:val="auto"/>
                <w:kern w:val="0"/>
                <w:sz w:val="18"/>
                <w:szCs w:val="18"/>
                <w:lang w:bidi="ar"/>
              </w:rPr>
            </w:pPr>
          </w:p>
          <w:p w14:paraId="1D77C8BC">
            <w:pPr>
              <w:widowControl/>
              <w:jc w:val="center"/>
              <w:textAlignment w:val="center"/>
              <w:rPr>
                <w:rFonts w:hint="eastAsia" w:ascii="宋体" w:hAnsi="宋体" w:eastAsia="宋体" w:cs="宋体"/>
                <w:color w:val="auto"/>
                <w:kern w:val="0"/>
                <w:sz w:val="18"/>
                <w:szCs w:val="18"/>
                <w:lang w:bidi="ar"/>
              </w:rPr>
            </w:pPr>
          </w:p>
          <w:p w14:paraId="20963800">
            <w:pPr>
              <w:widowControl/>
              <w:jc w:val="center"/>
              <w:textAlignment w:val="center"/>
              <w:rPr>
                <w:rFonts w:hint="eastAsia" w:ascii="宋体" w:hAnsi="宋体" w:eastAsia="宋体" w:cs="宋体"/>
                <w:color w:val="auto"/>
                <w:kern w:val="0"/>
                <w:sz w:val="18"/>
                <w:szCs w:val="18"/>
                <w:lang w:bidi="ar"/>
              </w:rPr>
            </w:pPr>
          </w:p>
          <w:p w14:paraId="34FFC27D">
            <w:pPr>
              <w:widowControl/>
              <w:jc w:val="center"/>
              <w:textAlignment w:val="center"/>
              <w:rPr>
                <w:rFonts w:hint="eastAsia" w:ascii="宋体" w:hAnsi="宋体" w:eastAsia="宋体" w:cs="宋体"/>
                <w:color w:val="auto"/>
                <w:kern w:val="0"/>
                <w:sz w:val="18"/>
                <w:szCs w:val="18"/>
                <w:lang w:bidi="ar"/>
              </w:rPr>
            </w:pPr>
          </w:p>
          <w:p w14:paraId="478EE4A0">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bdr w:val="single" w:color="000000" w:sz="4" w:space="0"/>
                <w:lang w:bidi="ar"/>
              </w:rPr>
              <w:drawing>
                <wp:anchor distT="0" distB="0" distL="114300" distR="114300" simplePos="0" relativeHeight="251668480" behindDoc="0" locked="0" layoutInCell="1" allowOverlap="1">
                  <wp:simplePos x="0" y="0"/>
                  <wp:positionH relativeFrom="column">
                    <wp:posOffset>85090</wp:posOffset>
                  </wp:positionH>
                  <wp:positionV relativeFrom="paragraph">
                    <wp:posOffset>0</wp:posOffset>
                  </wp:positionV>
                  <wp:extent cx="9525" cy="31115"/>
                  <wp:effectExtent l="0" t="0" r="0" b="0"/>
                  <wp:wrapNone/>
                  <wp:docPr id="13" name="Picture_122_SpCnt_15"/>
                  <wp:cNvGraphicFramePr/>
                  <a:graphic xmlns:a="http://schemas.openxmlformats.org/drawingml/2006/main">
                    <a:graphicData uri="http://schemas.openxmlformats.org/drawingml/2006/picture">
                      <pic:pic xmlns:pic="http://schemas.openxmlformats.org/drawingml/2006/picture">
                        <pic:nvPicPr>
                          <pic:cNvPr id="13" name="Picture_122_SpCnt_15"/>
                          <pic:cNvPicPr/>
                        </pic:nvPicPr>
                        <pic:blipFill>
                          <a:blip r:embed="rId5"/>
                          <a:stretch>
                            <a:fillRect/>
                          </a:stretch>
                        </pic:blipFill>
                        <pic:spPr>
                          <a:xfrm>
                            <a:off x="0" y="0"/>
                            <a:ext cx="9525" cy="31115"/>
                          </a:xfrm>
                          <a:prstGeom prst="rect">
                            <a:avLst/>
                          </a:prstGeom>
                          <a:noFill/>
                          <a:ln>
                            <a:noFill/>
                          </a:ln>
                        </pic:spPr>
                      </pic:pic>
                    </a:graphicData>
                  </a:graphic>
                </wp:anchor>
              </w:drawing>
            </w:r>
            <w:r>
              <w:rPr>
                <w:rFonts w:hint="eastAsia" w:ascii="宋体" w:hAnsi="宋体" w:eastAsia="宋体" w:cs="宋体"/>
                <w:color w:val="auto"/>
                <w:kern w:val="0"/>
                <w:sz w:val="18"/>
                <w:szCs w:val="18"/>
                <w:bdr w:val="single" w:color="000000" w:sz="4" w:space="0"/>
                <w:lang w:bidi="ar"/>
              </w:rPr>
              <w:drawing>
                <wp:anchor distT="0" distB="0" distL="114300" distR="114300" simplePos="0" relativeHeight="251669504" behindDoc="0" locked="0" layoutInCell="1" allowOverlap="1">
                  <wp:simplePos x="0" y="0"/>
                  <wp:positionH relativeFrom="column">
                    <wp:posOffset>86360</wp:posOffset>
                  </wp:positionH>
                  <wp:positionV relativeFrom="paragraph">
                    <wp:posOffset>0</wp:posOffset>
                  </wp:positionV>
                  <wp:extent cx="8890" cy="30480"/>
                  <wp:effectExtent l="0" t="0" r="0" b="0"/>
                  <wp:wrapNone/>
                  <wp:docPr id="10" name="Picture_122_SpCnt_16"/>
                  <wp:cNvGraphicFramePr/>
                  <a:graphic xmlns:a="http://schemas.openxmlformats.org/drawingml/2006/main">
                    <a:graphicData uri="http://schemas.openxmlformats.org/drawingml/2006/picture">
                      <pic:pic xmlns:pic="http://schemas.openxmlformats.org/drawingml/2006/picture">
                        <pic:nvPicPr>
                          <pic:cNvPr id="10" name="Picture_122_SpCnt_16"/>
                          <pic:cNvPicPr/>
                        </pic:nvPicPr>
                        <pic:blipFill>
                          <a:blip r:embed="rId5"/>
                          <a:stretch>
                            <a:fillRect/>
                          </a:stretch>
                        </pic:blipFill>
                        <pic:spPr>
                          <a:xfrm>
                            <a:off x="0" y="0"/>
                            <a:ext cx="8890" cy="30480"/>
                          </a:xfrm>
                          <a:prstGeom prst="rect">
                            <a:avLst/>
                          </a:prstGeom>
                          <a:noFill/>
                          <a:ln>
                            <a:noFill/>
                          </a:ln>
                        </pic:spPr>
                      </pic:pic>
                    </a:graphicData>
                  </a:graphic>
                </wp:anchor>
              </w:drawing>
            </w:r>
            <w:r>
              <w:rPr>
                <w:rFonts w:hint="eastAsia" w:ascii="宋体" w:hAnsi="宋体" w:eastAsia="宋体" w:cs="宋体"/>
                <w:color w:val="auto"/>
                <w:kern w:val="0"/>
                <w:sz w:val="18"/>
                <w:szCs w:val="18"/>
                <w:lang w:bidi="ar"/>
              </w:rPr>
              <w:t>智慧录播主机</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62C5D7E0">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bdr w:val="single" w:color="000000" w:sz="4" w:space="0"/>
                <w:lang w:val="en-US" w:eastAsia="zh-CN" w:bidi="ar"/>
              </w:rPr>
              <w:drawing>
                <wp:anchor distT="0" distB="0" distL="114300" distR="114300" simplePos="0" relativeHeight="251680768" behindDoc="0" locked="0" layoutInCell="1" allowOverlap="1">
                  <wp:simplePos x="0" y="0"/>
                  <wp:positionH relativeFrom="column">
                    <wp:posOffset>0</wp:posOffset>
                  </wp:positionH>
                  <wp:positionV relativeFrom="paragraph">
                    <wp:posOffset>0</wp:posOffset>
                  </wp:positionV>
                  <wp:extent cx="1905" cy="30480"/>
                  <wp:effectExtent l="0" t="0" r="0" b="0"/>
                  <wp:wrapNone/>
                  <wp:docPr id="11" name="图片 19"/>
                  <wp:cNvGraphicFramePr/>
                  <a:graphic xmlns:a="http://schemas.openxmlformats.org/drawingml/2006/main">
                    <a:graphicData uri="http://schemas.openxmlformats.org/drawingml/2006/picture">
                      <pic:pic xmlns:pic="http://schemas.openxmlformats.org/drawingml/2006/picture">
                        <pic:nvPicPr>
                          <pic:cNvPr id="11" name="图片 19"/>
                          <pic:cNvPicPr/>
                        </pic:nvPicPr>
                        <pic:blipFill>
                          <a:blip r:embed="rId5"/>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auto"/>
                <w:kern w:val="0"/>
                <w:sz w:val="18"/>
                <w:szCs w:val="18"/>
                <w:u w:val="none"/>
                <w:bdr w:val="single" w:color="000000" w:sz="4" w:space="0"/>
                <w:lang w:val="en-US" w:eastAsia="zh-CN" w:bidi="ar"/>
              </w:rPr>
              <w:drawing>
                <wp:anchor distT="0" distB="0" distL="114300" distR="114300" simplePos="0" relativeHeight="251679744" behindDoc="0" locked="0" layoutInCell="1" allowOverlap="1">
                  <wp:simplePos x="0" y="0"/>
                  <wp:positionH relativeFrom="column">
                    <wp:posOffset>0</wp:posOffset>
                  </wp:positionH>
                  <wp:positionV relativeFrom="paragraph">
                    <wp:posOffset>0</wp:posOffset>
                  </wp:positionV>
                  <wp:extent cx="1905" cy="30480"/>
                  <wp:effectExtent l="0" t="0" r="0" b="0"/>
                  <wp:wrapNone/>
                  <wp:docPr id="12" name="Picture_122_SpCnt_8"/>
                  <wp:cNvGraphicFramePr/>
                  <a:graphic xmlns:a="http://schemas.openxmlformats.org/drawingml/2006/main">
                    <a:graphicData uri="http://schemas.openxmlformats.org/drawingml/2006/picture">
                      <pic:pic xmlns:pic="http://schemas.openxmlformats.org/drawingml/2006/picture">
                        <pic:nvPicPr>
                          <pic:cNvPr id="12" name="Picture_122_SpCnt_8"/>
                          <pic:cNvPicPr/>
                        </pic:nvPicPr>
                        <pic:blipFill>
                          <a:blip r:embed="rId5"/>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auto"/>
                <w:kern w:val="0"/>
                <w:sz w:val="18"/>
                <w:szCs w:val="18"/>
                <w:u w:val="none"/>
                <w:bdr w:val="single" w:color="000000" w:sz="4" w:space="0"/>
                <w:lang w:val="en-US" w:eastAsia="zh-CN" w:bidi="ar"/>
              </w:rPr>
              <w:drawing>
                <wp:anchor distT="0" distB="0" distL="114300" distR="114300" simplePos="0" relativeHeight="251678720" behindDoc="0" locked="0" layoutInCell="1" allowOverlap="1">
                  <wp:simplePos x="0" y="0"/>
                  <wp:positionH relativeFrom="column">
                    <wp:posOffset>0</wp:posOffset>
                  </wp:positionH>
                  <wp:positionV relativeFrom="paragraph">
                    <wp:posOffset>0</wp:posOffset>
                  </wp:positionV>
                  <wp:extent cx="1905" cy="30480"/>
                  <wp:effectExtent l="0" t="0" r="0" b="0"/>
                  <wp:wrapNone/>
                  <wp:docPr id="7" name="图片 21"/>
                  <wp:cNvGraphicFramePr/>
                  <a:graphic xmlns:a="http://schemas.openxmlformats.org/drawingml/2006/main">
                    <a:graphicData uri="http://schemas.openxmlformats.org/drawingml/2006/picture">
                      <pic:pic xmlns:pic="http://schemas.openxmlformats.org/drawingml/2006/picture">
                        <pic:nvPicPr>
                          <pic:cNvPr id="7" name="图片 21"/>
                          <pic:cNvPicPr/>
                        </pic:nvPicPr>
                        <pic:blipFill>
                          <a:blip r:embed="rId5"/>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auto"/>
                <w:kern w:val="0"/>
                <w:sz w:val="18"/>
                <w:szCs w:val="18"/>
                <w:u w:val="none"/>
                <w:lang w:val="en-US" w:eastAsia="zh-CN" w:bidi="ar"/>
              </w:rPr>
              <w:t>1、要求录播主机为机架式设备，便于安装部署，并要求录播主机为非壁挂式架构，不存在机身触摸屏产生强光源变化从而影响学生课堂专注力。</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2、系统集成录播系统、音频处理、编解码技术为一体，更符合信息化行业有关产品发展微小型化、低功耗、智能化和高可靠性需求；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支持不小于4路高清3G-SDI、支持不小于2路HDMI输入接口；不小于3路HDMI接口视频输出；（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为了满足部分双教学大屏场景，要求2路HDMI输入接口支持同时接入，能够实现两路HDMI信号采集，其中一路最高支持4K分辨率接入，并支持老师教学过程中大屏操作的全自动跟踪切换；（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5、主机内含6口交换机，其中支持不少于4口POE供电，满足老师特写、讲台全景、学生特写、学生全景信号接入需求；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6、为满足不同音频输入需求，主机音频支持不少于1路莲花（RCA）MIC IN接口、1路凤凰端子MIC IN接口、1路凤凰LINE IN接口可选，同时，主机应支持不少于1路凤凰端子输出、1路双莲花LINE OUT可选；</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7、录播主机支持本地导播功能，接上鼠标、标准键盘与显示器就可实现无延时本地导播，可以扩展硬件导播台；</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8、为了便于录播主机连接键鼠、导播控制键盘、USB移动存储设备，要求录播主机支持不小于3路USB接口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9、主机包含Reset按键，可以实现出厂设置恢复，能够实时初始化系统状态；</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10、主机前面板配置液晶屏，支持显示主机版本、IP地址等信息，实现清晰管理设备操控；</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11、控制接口不小6路，可用于控制摄像机云台与控制面板等设备，其中一路带供电，可直接对接控制面板、无需额外给控制面板提供电源；</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12、系统内置跟踪功能，无需额外配置跟踪主机即可实现智能图像识别跟踪分析与处理功能，跟踪对象不需要佩戴任何辅助装置，便可对老师和学生的动作、移动进行准确定位、跟踪，清楚的记录整个教学活动；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13、系统内置不小于2T存储空间，支持双硬盘接入，最大支持不少于16T硬盘存储空间，录制文件既可存储在本地硬盘，可以上传到云资源管理平台或第三方FTP服务器；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14、支持H.323、SIP协议，能够对接第三方视频会议终端，实现互动场景录制；</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58E10F00">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台</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A4336F8">
            <w:pPr>
              <w:widowControl/>
              <w:jc w:val="center"/>
              <w:textAlignment w:val="center"/>
              <w:rPr>
                <w:rFonts w:hint="eastAsia" w:ascii="宋体" w:hAnsi="宋体" w:eastAsia="宋体" w:cs="宋体"/>
                <w:color w:val="auto"/>
                <w:kern w:val="0"/>
                <w:sz w:val="18"/>
                <w:szCs w:val="18"/>
                <w:lang w:bidi="ar"/>
              </w:rPr>
            </w:pPr>
            <w:r>
              <w:rPr>
                <w:rFonts w:hint="eastAsia" w:ascii="宋体" w:hAnsi="宋体" w:eastAsia="宋体" w:cs="宋体"/>
                <w:color w:val="auto"/>
                <w:kern w:val="0"/>
                <w:sz w:val="18"/>
                <w:szCs w:val="18"/>
                <w:lang w:bidi="ar"/>
              </w:rPr>
              <w:drawing>
                <wp:anchor distT="0" distB="0" distL="114300" distR="114300" simplePos="0" relativeHeight="251670528" behindDoc="0" locked="0" layoutInCell="1" allowOverlap="1">
                  <wp:simplePos x="0" y="0"/>
                  <wp:positionH relativeFrom="column">
                    <wp:posOffset>0</wp:posOffset>
                  </wp:positionH>
                  <wp:positionV relativeFrom="paragraph">
                    <wp:posOffset>0</wp:posOffset>
                  </wp:positionV>
                  <wp:extent cx="9525" cy="30480"/>
                  <wp:effectExtent l="0" t="0" r="0" b="0"/>
                  <wp:wrapNone/>
                  <wp:docPr id="6" name="Picture_122_SpCnt_18"/>
                  <wp:cNvGraphicFramePr/>
                  <a:graphic xmlns:a="http://schemas.openxmlformats.org/drawingml/2006/main">
                    <a:graphicData uri="http://schemas.openxmlformats.org/drawingml/2006/picture">
                      <pic:pic xmlns:pic="http://schemas.openxmlformats.org/drawingml/2006/picture">
                        <pic:nvPicPr>
                          <pic:cNvPr id="6" name="Picture_122_SpCnt_18"/>
                          <pic:cNvPicPr/>
                        </pic:nvPicPr>
                        <pic:blipFill>
                          <a:blip r:embed="rId5"/>
                          <a:stretch>
                            <a:fillRect/>
                          </a:stretch>
                        </pic:blipFill>
                        <pic:spPr>
                          <a:xfrm>
                            <a:off x="0" y="0"/>
                            <a:ext cx="9525" cy="30480"/>
                          </a:xfrm>
                          <a:prstGeom prst="rect">
                            <a:avLst/>
                          </a:prstGeom>
                          <a:noFill/>
                          <a:ln>
                            <a:noFill/>
                          </a:ln>
                        </pic:spPr>
                      </pic:pic>
                    </a:graphicData>
                  </a:graphic>
                </wp:anchor>
              </w:drawing>
            </w:r>
            <w:r>
              <w:rPr>
                <w:rFonts w:hint="eastAsia" w:ascii="宋体" w:hAnsi="宋体" w:eastAsia="宋体" w:cs="宋体"/>
                <w:color w:val="auto"/>
                <w:kern w:val="0"/>
                <w:sz w:val="18"/>
                <w:szCs w:val="18"/>
                <w:lang w:bidi="ar"/>
              </w:rPr>
              <w:t>1</w:t>
            </w:r>
          </w:p>
        </w:tc>
      </w:tr>
      <w:tr w14:paraId="7548F346">
        <w:tblPrEx>
          <w:tblCellMar>
            <w:top w:w="0" w:type="dxa"/>
            <w:left w:w="108" w:type="dxa"/>
            <w:bottom w:w="0" w:type="dxa"/>
            <w:right w:w="108" w:type="dxa"/>
          </w:tblCellMar>
        </w:tblPrEx>
        <w:trPr>
          <w:trHeight w:val="5458"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61B126C0">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22</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43646933">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录播主机系统软件</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5DF314E7">
            <w:pPr>
              <w:keepNext w:val="0"/>
              <w:keepLines w:val="0"/>
              <w:widowControl/>
              <w:suppressLineNumbers w:val="0"/>
              <w:spacing w:after="180" w:afterAutospacing="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1、录播主机系统软件须出厂即安装于录播主机内，支持网络导播与本地导播两种导播方式；要求网络导播客户端软件支持windows以及国产操作系统、如UOS等；（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2、为了更清楚了解系统状态，系统应支持版本信息、序列号、设备型号、硬盘空间、剩余硬盘空间、跟踪机位信息、网络连接、平台接入信息等显示；</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3、系统支持视频文件上传、下载、异常修复、本地点播、删除等基本功能，支持通过状态标记自动检测课件上传是否成功，对于状态标记上传失败的课件资源支持人工手动续传；</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4、系统支持插入外接移动存储设备一键拷贝下载功能，并可选择多路外接移动设备；</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5、系统支持异常课件修复和课件列表修复功能，在录制过程中或其他不可抗拒因素导致设备突然断电使录制的课件异常时，可通过录播主机管理页面一键修复功能，修复异常课件为正常课件资源；</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6、系统支持输入音视频信号状态显示，如分辨率等；支持音频输入接口自由选择；</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7、支持主机HDMI输出设定，支持分辨率、频率设置，支持HDMI输出音频开关；</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8、支持教室属性设置，如常规录播教室、互动教室；并可对互动协议进行自由选择，支持H.323\SIP等标准协议，同时支持厂家私有协议互动；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录播系统支持双流、单流模式互动：单流互动时要求听讲教室一个屏幕即可显示主讲教室的人物视频主流画面与PPT或板书的辅流画面；双流互动时，听讲教室使用两台显示器，分别显示主流老师画面与副流电脑PPT、板书画面；</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10、主讲教室可根据需要切换互动模式，如自由讨论、课间休息、对讲模式等，各互动教室录播设备跟随互动模式变化，切换为对应的画面输出效果。</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11、支持与厂家小组研讨协作教学系统联动，实现更精细化的研讨型教学课程录制效果；</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12、支持web端发起互动教学，包括呼叫、挂断等，可实时显示互动教学连接状态，方便管理；</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13、▲支持不少于6路流媒体图像设置，每一路均支持RTSP、RTMP、HTTP等协议自由选择，并可自由选择流媒体具体内容，如电影模式，老师特写/全景，学生特写/全景，电脑信号等；（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14、支持IPv4、IPv6协议、支持将设备映射到公网、设置公网IP；支持网络状态检测、如上下行速度、网络抖动、丢包率等；（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15、提供管理员和访客两种用户管理，支持对用户进行密码修改设定，不同的用户是相同的后台操作应用；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16、支持中控对接，可选串口中控和网络中控；支持物联网MQTT标准协议，无缝对接物联网集控平台，将设备信息、状态以及基本的控制操作对接到物联网集控平台，如录制控制、直播开关等；（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17、支持对接厂家资源管理平台，实现录播集中管理，包括录制、直播、设备开关机状态、视频资源管理等应用；支持标准的FTP协议将文件上传到第三方FTP服务器进行文件统一管理；</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18、支持EDID修复功能，提升HDMI接入的兼容性；</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19、支持Open ping开关，方便设备调试及网络问题处理；</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20、支持NTP服务器设置，同步系统时间；</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21、支持互动课连接端口自定义如流起始端口、UDP收发端口、调度平台端口；</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22、支持同步资源平台的课表信息，支持查看课表信息包括课程名称，主讲人，开始结束时间；</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26C1155E">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套</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4E61E91">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1 </w:t>
            </w:r>
          </w:p>
        </w:tc>
      </w:tr>
      <w:tr w14:paraId="367F38D3">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224BE320">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23</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306576FA">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互动扩声音频处理主机</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1A11D524">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1、支持算法：AFC、ANS、AEC、AGC、ARR；</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支持AI降噪技术，在使用过程中对环境自动感知，只对人声扩声，屏蔽脚步，敲击，风扇等各种噪声（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支持声幕墙技术，能有效定位声源，可屏敝学生区域任何声音都不会扩出来，保证纯净的扩声效果（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为了保证扩声音量和质量，讲台附近的老师采用阵列麦；另外可在学生区域全向学生麦，用于在远程教学时拾取学生的声音（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5、扩声角度范围：老师麦扩声角度可覆盖 160°~180°范围的区域，在该区域内音量波动小于5db；远程教学时送给远端的拾音范围：学生麦和老师麦都是全向（即360°）拾音（提供国家认证认可监督管理委员会认证的检测机构所出具的检测报告复印件并加盖厂家公章，并提供全国认证认可信息公共服务平台对应检测报告查询记录截图）；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6、支持自动反馈抑制（AFC）：传声增益提升幅度：≥18dB，反馈抑制可有效提升本地扩音的音量，并且能防止本地啸叫；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支持自动回声消除（AEC）：回声消除幅度≥90dB；可有效消除回声，避免泄露回声，即消除由扬声器播放出来的声音被麦克风拾取的声音，避免远端发言者听到自己的声音；支持同时使用本地扩声和远程教学功能，AEC和AFC功能不相互受影响，即远端有人讲话时，不影响本地的扩声，本地扩声也不会导致回声泄露；</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8、支持自动噪声抑制（ANS）：平稳噪声抑制幅度：≥30dB，可有效压制噪音，增强语音，以提高在噪音环境下的言语清晰度；</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9、支持自动增益控制（AGC）：远程互动教学时，采用自动增益控制音量提升幅度：≥15dB，在扩声时，在集体朗读等大音量场景自动抑制扩声音量；</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10、支持混响抑制（ARR）：混响抑制≥18dB；在打开混响抑制时，可明显感知降低了混响，提高了语音清晰度；</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11、支持无线麦接入，在检测到无线麦接入时，优选无线麦扩声；</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12、除支持远程音频信号接入外，还支持另外一路外部音频信号接入（如接大屏或老师PC电脑），播放外部音频信号时，不影响本地扩声；</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13、 增益调节范围 :-54dB～10dB；失真（THD+N）: ≤0.1%；信噪比（S/N）: ≥89dB；最大输入电平：4dBu；最大输出电平：10dBu；</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▲14、输入支持8路及以上输入硬件接口，≥2路WLAN口本地麦克风输入，≥2路幻象供电麦克风或者无线麦克风输入，≥2路 外部音源输入，≥2路远端输入（提供国家认证认可监督管理委员会认证的检测机构所出具的检测报告复印件并加盖厂家公章，并提供全国认证认可信息公共服务平台对应检测报告查询记录截图）；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15、输出支持两路及以上输出硬件接口，≥1路本地输出，≥1路远端输出；</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16、支持通过网络或485接口对设备进行软控制；为了方便和其它硬件设备的对接，支持在设备上对支持对无线麦克和幻象供电输入信号接口、远端输入信号接口、输出给远端的接口、输出给喇叭的接口调节模拟音量；</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70C39BF8">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个</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1FA9279">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1 </w:t>
            </w:r>
          </w:p>
        </w:tc>
      </w:tr>
      <w:tr w14:paraId="3096515C">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0B8E1934">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24</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6294DC2B">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线阵麦克风</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447720AF">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1、麦克风采用6咪条形阵列设计，波束成形算法，支持180度扇形指向拾音；</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2、良好频响特性，音质饱满、还原度高，外观小巧美观，安装灵活方便；</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3、麦克风按声学阵列设计，适用反馈算法设计需求，达到更好的反馈抑制效果；</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4、阵列式设计，拾音范围更精准，1-6米的声音均能保持同等的均衡，完全避免不同距离、不同音量的忽大忽小现象；</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5、专为教学扩声、互动环境高频响、高声压、低时延的瞬态响应处理应用设计；</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5D2D304F">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个</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5B356D5A">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1 </w:t>
            </w:r>
          </w:p>
        </w:tc>
      </w:tr>
      <w:tr w14:paraId="38F0B760">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06A77537">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25</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61EFA898">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全向麦克风</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7C07EF4F">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1、幻象供电麦，全指向拾音，有效保证远距离拾音效果；</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2、其灵敏度高，高信噪比，专为教学互动环境高频响、高声压、低时延的瞬态响应处理应用设计；</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3、主要用于教学互动、扩声、远距离拾音；录音会议广播演讲等场景。</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42BB841B">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个</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8211805">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1 </w:t>
            </w:r>
          </w:p>
        </w:tc>
      </w:tr>
      <w:tr w14:paraId="0D258CB3">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514DBECF">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26</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10EA8B2A">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双输出摄像机</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2EC3155E">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1、图像传感器：采用不低于1/1.8" Progressive Scan CMOS；（提供国家认证认可监督管理委员会认证的检测机构所出具的检测报告复印件并加盖厂家公章，并提供全国认证认可信息公共服务平台对应检测报告查询记录截图）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 CMOS最大分辨率支持≥3840×2160；（提供国家认证认可监督管理委员会认证的检测机构所出具的检测报告复印件并加盖厂家公章，并提供全国认证认可信息公共服务平台对应检测报告查询记录截图）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 最低照度≥彩色:0.001 Lux @(F1.2,AGC ON)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 数字增益：-30dB-23、9dB；</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 日夜转换模式支持ICR红外滤片式；</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 视频压缩标准支持：H.264/H.265；</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 视频输出分辨率：1080P@30、720P@30；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 压缩输出编码率：128Kbps～30Mbps可调；</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 音频压缩编码率：AAC 32K/48；</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10、 图像设置支持：饱和度，亮度，对比度，锐度，色度通过客户端可调；</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11、 支持抗闪烁、电子防抖、电子快门、背光补偿、长曝光模式等功能；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12、 ISO模式支持：ISO100、ISO200、ISO400、ISO800、ISO1600、ISO3200；</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13、支持老师跟踪、学生跟踪、电子云台跟踪；（提供国家认证认可监督管理委员会认证的检测机构所出具的检测报告复印件并加盖厂家公章，并提供全国认证认可信息公共服务平台对应检测报告查询记录截图）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14、 工作温度和湿度：-10℃~60℃,湿度小于90%(无凝结)；</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15、 最大功耗≤6W；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16、 要求Sensor有效像素是不小于800万；</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17、要求相机支持POE一线通，满足数据通信、供电均由一根网线完成；</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18、要求摄像机与录播主机为同一品牌；</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14A34BD3">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台</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405C37B">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1 </w:t>
            </w:r>
          </w:p>
        </w:tc>
      </w:tr>
      <w:tr w14:paraId="6C102C0F">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6A7F9077">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27</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2423741B">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双目AI摄像机管理软件</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7FFD23FF">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1、 支持摄像机模式设置，分别有室内自然模式、室内暗光模式、室内亮光模式、户外晴天模式、户外阴天模式、户外夜间模式、自动识别模式、自动抗闪烁模式、全自动模式等9种模式设置；</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 支持智能局域网搜索摄像机IP功能；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 支持手动调节摄像机亮度、对比度、色度、锐度、饱和度、白平衡等功能；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 支持编码参数快速设置，对码流、码率、关键帧等自由调节；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 调试工具具备电子云台功能，对摄像机放大、缩小、上下左右等操作；</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 支持全景与特写双输出画面预览；</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 支持实时显示CPU占用率；</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支持查看课堂AI实时分析结果，包括老师行为和学生行为；其中老师行为包括板书时长、演示时长、讲授时长、巡视时长、师生互动次数等内容；学生行为需包括：认真听讲人数、举手人数、交头接耳人数、以及读写状态人数等；所有数据可实时显示，当有数据更新时实时显示更新；可配置学生分析数据和老师行为数据以不同的颜色显示，叠加在教室的实时预览图像上；（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支持教室AI分析图像预览，支持行为数据显示开启或关闭；支持行为动作分析轮廓数据开启或关闭；（提供国家认证认可监督管理委员会认证的检测机构所出具的检测报告复印件并加盖厂家公章，并提供全国认证认可信息公共服务平台对应检测报告查询记录截图）</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2BCB8D1A">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套</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8F4B8A5">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1 </w:t>
            </w:r>
          </w:p>
        </w:tc>
      </w:tr>
      <w:tr w14:paraId="18BC46AB">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01937C9E">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28</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6FF3F004">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点名相机</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3FAE4CF4">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1、内置4核心AI主芯片，支持AI智能、深度学习算法，有效提升检测准确率；（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内置双感光器件，其中一路有效像素不低于850万（定焦镜头），一路不低于200万有效像素（云台变焦镜头）；其中定焦镜头sensor尺寸不小于1/1.8英寸，支持BSI技术、支持HDR宽动态，镜头水平可视角度不小于110度，支持输出不少于两路1080P图像，分别为学生全景和特写；（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云台变焦镜头的sensor尺寸不低于1/2.8英寸、10倍光学变焦镜头，支持云台转动水平0°~180°、垂直0°~+80°旋转；支持不少于256个预置位；水平可视角度：55.2°~5.6°；（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4、快门速度：定焦1/25~1/10000秒,云台变焦：1/5~1/50000秒；</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5、光圈：定焦不小于1/1.8，云台变焦不小于1/2.8,；</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6、支持POE，无需额外供电；</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4BD8044B">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台</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C89849E">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1 </w:t>
            </w:r>
          </w:p>
        </w:tc>
      </w:tr>
      <w:tr w14:paraId="04AD1DA5">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659C8BD6">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29</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5D317857">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点名相机配套管理软件</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3EDFEDCF">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1、 支持摄像机模式设置，分别有室内自然模式、室内暗光模式、室内亮光模式、户外晴天模式、户外阴天模式、户外夜间模式、自动识别模式、自动抗闪烁模式、全自动模式等9种模式设置；</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 支持智能局域网搜索摄像机IP功能；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 支持手动调节摄像机亮度、对比度、色度、锐度、饱和度、白平衡等功能；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 支持编码参数快速设置，对码流、码率、关键帧等自由调节；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 调试工具具备电子云台功能；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 支持人员起立检测，联动定位，支持全景与特写双输出画面预览；</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 支持实时显示CPU占用率；</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AI应用：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1、支持客户端进行设备配置如连接录播设备等；</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支持查看课堂AI实时分析结果，包括老师行为和学生行为；其中老师行为包括板书时长、演示时长、讲授时长、巡视时长、师生互动次数等内容；学生行为需包括：认真听讲人数、举手人数、交头接耳人数、以及读写状态人数等；所有数据可实时显示，当有数据更新时实时显示更新；可配置学生分析数据和老师行为数据以不同的颜色显示，叠加在教室的实时预览图像上；（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3、支持教室AI分析图像预览，支持行为数据显示开启或关闭；支持行为动作分析轮廓数据开启或关闭；</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支持云台变焦摄像头云台控制上下左右，变焦等；支持不少于30个预置位设置保存，满足覆盖整个教室区域；（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支持云台变焦摄像头巡查设置，可设置巡查开始位置和结束位置，实现更精准的考勤数据；（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7、人脸识别：支持人脸增强，人脸曝光优化，支持人脸属性提取，支持与云资源管理平台对接，实现人脸考勤；</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8、网路协议支持：HTTP;HTTPS;IPv4;RTSP;UDP;SMTP;NTP;DHCP；</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10、音视频编码协议：H.264\H.265，音频AAC编码。</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6D84ECE2">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套</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282A30D9">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1 </w:t>
            </w:r>
          </w:p>
        </w:tc>
      </w:tr>
      <w:tr w14:paraId="77064193">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67320020">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30</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685FB760">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录播控制面板</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36A27408">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1、 面板尺寸≥4.3寸；</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 分辨率≥480*272；</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 背光类别：LED；</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 背光亮度：≥300nit，支持64级亮度可调</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 支持RS485和RS232两种控制接口；</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 支持对录播设备的录制、暂停、停止、VGA锁定、开关机、视频打点等操作。</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2C889091">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台</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ACD6174">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1 </w:t>
            </w:r>
          </w:p>
        </w:tc>
      </w:tr>
      <w:tr w14:paraId="3BB54A39">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5BFA880D">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31</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2CBC0F79">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音箱</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5DF3F828">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1、额定功率：50W。</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2、额定阻抗：4Ω。</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3、频率响应：55Hz-18kHz。</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4、驱动器：1个6.5寸长冲程低音驱动器、1个前纸盆高音。</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5、信噪比：95dB；</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6、最大声压级：103dB；</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7、箱体型式：倒相式；</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8、箱体及外饰：高密度中纤板（黑色）箱体；喇叭具有金属防护罩。</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9、安装：标配壁挂架；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10、尺寸（L×W×H）： 220×200×350（单位：mm）。                                                                              </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5E9A7C67">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对</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65201137">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1 </w:t>
            </w:r>
          </w:p>
        </w:tc>
      </w:tr>
      <w:tr w14:paraId="5E9682F1">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0480E22B">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32</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042ADC11">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功放</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60E01065">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1､三路话筒插口（2路带48伏幻像电源）；</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2､3路音源输入（2组线路信号输入接口、1组录播输入接口），2路音源输出（1组全信号输出接口、1路录播输出接口）</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3､具有6个隐藏式旋钮设计，有效避免产生误操作（话筒音量调节、高低音独立调节及混响调节）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4、音乐主音量控制旋钮</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5、具有U盘插口，可播放mp3,wma等主流格式的音乐文件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6、带蓝牙播放功能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7､带数码显示屏,显示各曲目的播放进度及各模式的名称</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8､具有模式选择按键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9､具有循环选择按键,可选择单曲循环或全部循环（长按该按键播放录音文件,从后往前循环播放,该模式下,再次长按删除当前录音文件,短按退出并回到原来状态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10､具有上一曲按键、下一曲按键</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11､具提示音按键,按动一下即播放提示音一次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12､具有音乐均衡按键，按动该按键,可以选择不同风格的音乐模式</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13､具有话筒录音按键（短按话筒优先,长按该按键开始录音,录音模式下短按该按键退出录音）</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14､具有播放暂停按键</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15､具有2.4G无线麦克风接收模块接口；</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16､具有2.4G无线麦克风接收指示灯；</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技术参数：</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1､额定功率：2×60W/8Ω；</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2､频率响应： 20Hz-20KHz -1dB；</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3､谐波失真： ≤0.1%（1V.1KHZ）；</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4､信噪比：≥90dB(A计权)；</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5､机身尺寸：48×190×480 （单位：mm）；</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336F0D1E">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台</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49630296">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1 </w:t>
            </w:r>
          </w:p>
        </w:tc>
      </w:tr>
      <w:tr w14:paraId="00351C09">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77E2541B">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33</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6B709E54">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音响支架</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5104B00C">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定制 音响支架</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69E40AD8">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对</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5D849700">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1 </w:t>
            </w:r>
          </w:p>
        </w:tc>
      </w:tr>
      <w:tr w14:paraId="1AAC9D05">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17A6F020">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34</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2D93C2C4">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摄像机吊架</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00967CD9">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定制摄像机吊架</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7DFAAA07">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对</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6DF8343">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1 </w:t>
            </w:r>
          </w:p>
        </w:tc>
      </w:tr>
      <w:tr w14:paraId="1C2D08F5">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7401E2B5">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35</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01579A57">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云资源管理平台</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3E11FE02">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一、 系统要求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 要求资源平台与学校配套智慧录播主机为同一品牌，能够实现设备主机与系统的无缝对接；</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 为了保障资源安全，减少病毒与黑客破坏的风险，要求高清资源平台采用linux开源操作系统；要求支持安装部署于国产化服务器，包括ARM和X86架构服务器，支持国产操作系统；</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 支持组织架构自定义设置，满足学校组织架构配置需求，支持用户批量导入功能，支持自定义角色权限管理，支持小组用户管理，能够满足分组授权的灵活需求；包括学生管理、班级管理等应用；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 录播教室所录制的视频课件能够全自动上传到高清资源平台进行分类管理；</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 资源平台可查看注册到系统的录播设备开关机状态，可以远程开启与关闭录播教室的录制与直播；</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6、校级资源平台支持无缝对接至区域资源平台，满足直播、点播资源上传至上级系统综合管理需求；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7、系统首页支持通过后台配置，实现直播显示、课程显示、视频专辑、教育动态、视频和直播数据统计等模块开启或关闭，并支持对应模块名称自定义修改；</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8、系统平台采用模块化设计，支持导航菜单功能自定义配置，用户可以自行新增功能菜单，并对菜单中功能进行自行配置，支持菜单排序、外链接跳转、名称修改等应用；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9、支持PC端门户LOGO，后台LOGO，PC端Banner图，等自定义设置，PC端Banner图支持以链接形式进行配置，同时支持移动端LOGO、界面顶部Banner图自定义设置；</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10、系统支持界面一键置灰功能，满足特殊纪念日界面显示要求；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11、支持视频窗口保持功能，当系统界面拖动时，能够将视频播放窗口缩小并保持在界面右下方持续播放，保证视频观看连续性；</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12、支持扩展语音转写模块，支持跟资源平台对接，将直播，点播视频进行实时语音转文字，并可在直播或点播窗口生成语音实时字幕；</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13、支持对语音转写内容进行编辑，以修正识别错误的内容，如一些特殊专用词语等；支持批量纠错编辑，并根据用户的纠错编辑行为自动优化语音识别模型，提高语音识别转写的正确率！</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14、支持虚拟切片，点击转写文字可快速跳转到对应的视频片段；支持编辑知识点，根据知识点快速定位视频片段；</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15、支持生成PPT或板书图片资源；</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16、▲支持将课程视频，AI分析、考勤数据、语音转写文字，文件等内容在资源平台统一页面呈现，并支持普通视图和大数据视图选择；可根据登录用户权限区分显示内容，如普通用户只显示课件视频，转写文字内容，课件文件等；专家老师则可以看到所有的数据。（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二、 系统功能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 系统首页面支持视频直播、教室巡课、精品视频、视频专辑、微课展示、名师讲堂、资源中心、排行榜、新闻公告等基本信息的展示，方便用户直接点击进入了解最新资讯和重要视频资源；支持列表显示教育新闻资讯信息，要求展现的教育资讯信息包含主题标题、发布者信息、关键词、发布具体时间以及当前被浏览次数；支持教育动态类目管理，支持不少于两级动态分类，满足学校不同教育资讯分类发布需求；支持用户对教育动态资讯进行在线评论，支持管理员评论审核后显示及在线回复；</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 课程管理：系统需要具备精品课程列表展示功能，支持按学科、学段、年级、班级、时间段等方式进行视频资源分类和检索；支持支持Word、Excel、PPT等课件上传，满足学生观看课程视频时同步对课程文档进行下载学习；支持视频的收藏，收藏视频可在用户个人空间内进行查看及播放；支持用户对视频进行评论功能，支持管理员对用户评论的审核或不审核设置，当关闭审核功能，则评论可直接显示，当开启审核设置，所有评论需经管理员审核方可演示，实现不良评论屏蔽操作；</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 专辑管理：平台具备视频专辑管理功能，用户可以将多个视频文件建立视频专辑进行统一管理，支持公开发布、登录观看、暂不公开等观看权限设置，支持按照学科、学段、年级、班级等不同方式进行分类；视频专辑支持自定义专辑名称，支持专辑包含视频数量和浏览人数统计功能；支持一键播放专辑全部视频功能，并支持不少于3种播放布局，同时专辑内的视频支持按照最新发布、最多播放进行自动排名；（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 优课评比：平台支持发起优课评比活动，系统管理员可以指定优课评比参赛老师及评审专家，参赛老师可以自己选择参赛视频，评审专家可以在评审阶段进行在线评审，支持对评分项项目，权重等进行自定义设置；</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 微课展示：要求平台具备在线微课制作功能，支持对已上传文件进行在线剪辑生成微课资源，支持片头、片尾图片上传及显示时间设定，支持按时间进行知识点编辑，在微课中设置多个知识点；支持按学科，学段，教材版本等进行知识点编辑，上传微课时可根据设定的知识点进行分类上传，并可同时上传微课对应的学习文档资料，支持doc 、 docx、 xls 、 xlsx 、 ppt、 pptx、 pdf、 txt等格式。（提供国家认证认可监督管理委员会认证的检测机构所出具的检测报告复印件并加盖厂家公章，并提供全国认证认可信息公共服务平台对应检测报告查询记录截图）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 名师讲堂：平台具备名师讲堂功能，支持列表显示名师资源，可根据名师列表查看名师及视频展示；进入名师课堂主页，支持显示名师基本简介信息、视频数量、专辑数量介绍，支持视频点播的次数显示，支持最新发布、最多播放排行；</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 排行榜：平台具备视频排行榜功能，排行榜中的资源支持显示精品课程、优课展示、微课展示、名师排行等分类并支持视频资源的自动排名；</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个人应用：支持个人中心应用，可以在个人中心上传自己的视频资源，并进行分类、专辑设置，支持在线对上传的视频进行编辑，如片头片尾、剪辑、知识点等编辑，并可查看个人上传视频的互动信息，如问答、评论信息；支持对视频上传文档如doc、docx、xls、xlsx、ppt、pptx、pdf、rar、txt、zip等格式文件进行匹配，方便观看人员查看相关的教学资料。支持查看个人收藏的视频，支持教室预约；支持查看自己参加的优课评比活动，并进行相应的操作如基本信息，课程等内容。</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9、提供厂家自有品牌的安卓端发起直播应用APP，支持与平台对接实现移动端直播，支持调用手机摄像头开展直播活动。</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10、提供厂家自有品牌的安卓端直播点播观看APP、可安装于安卓手机，平板、智能电视等设备，支持在线直播、点播及新闻动态的观看。</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三、 后台管理要求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 用户管理：支持后台批量导入，后台可通过数据模版初始化导入用户数据，每个用户可自行管理个人账户信息；管理员具备用户信息编辑、用户锁定、用户解锁、删除、密码修改功能； 支持按组织架构进行用户管理，支持用户分组管理。</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录播管理：支持根据不同教室功能设置教室分类管理，支持教室分类多层级创建；支持绑定录播设备，实现录播设备远程管理，包括录播、直播状态监测显示、远程开关机、设备重启等操作；支持远程连接录播教室，支持对录播画面进行在线直播预览，支持电影模式、资源模式预览设置；支持课表联动录播设备实现自动开启录制功能，支持按照教室、预约周期、预约时间、有效日期、课时、主讲人、课件所属人、年级、学段、学科、班级、是否直播等维度批量导入学校课程安排，实现完全自动化录播启动和资源上传；</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 xml:space="preserve">3、直播管理：直播管理支持自定义创建直播频道，支持高清、标清模式自定义，支持直播流路数、节点模式、频道类型等选择；直播活动创建支持预约开始、立即开始、暂停、结束等多种直播状态可选，支持公开观看、登录观看、密码观看、分组观看等多种直播访问权限设置，支持评论开启、关闭，支持直播在线人数显示与隐藏设置； </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视频管理：支持视频分类、支持视频编目自定义设置，支持视频编目项字典自定义编辑，可以根据不同年级、学科、学段、班级自行编辑内容项；支持视频列表形式展示所有平台视频，支持对任意视频设置推荐置顶；支持视频审核，能够在视频审核界面对待审核视频进行播放观看，支持删除视频和审核通过两种操作，支持多个视频选中进行批量审核；支持视频评论、问答管理界面，能够统一管理视频评论内容，支持设置自动答复功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报表统计要求：支持直播峰值图表，所有直播活动能够自动生成直播统计报表，支持以柱状图形式显示在不同时间段同时在线观看人数统计结果；支持直播观看信息查看，支持获取直播观看用户IP地址、登入、登出时间、在线时长、设备类型等统一展示；支持直播用户分布图，能够以中国地图形式呈现全国各地观看观众数，并根据不同用户数量能够以不同颜色进行标记显示；支持视频峰值、视频播放量、视频播放时长、视频播放量排行、视频观看用户、日志管理等统计分析模块，帮助学校老师充分了解各视频查看统计结果；</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四、 语音转写要求</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1、系统可跟资源管理平台共用服务器，也可以独立安装于独立的服务器中，采用linux操作系统；</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2、支持语音转写，普通话识别准确率不低于90%；支持跟资源平台对接实现直播及视频字幕叠加功能，将识别的文字叠加到视频播放窗口中；</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3、支持后期编辑，对于识别错误的内容，如同音字词、专用词汇进行修订实现更准确的转写应用；支持批量修改；</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4、支持智能断句，只是按时间节点进行转写内容标识，便于后期进行视频字幕编辑；</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5、支持中文数字混合转写；</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6、支持敏感词管理，单台设备支持不少于10000个敏感词管理，并可生成敏感词分析报告，对视频中的敏感词在转写时按策略屏蔽；</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7、支持知识点提取，通过视频中课程PPT内容或语音转写进行关键知识点内容提取和编辑，并同步在视频播放页面呈现，点击知识点即可快速跳转到该知识点的片段，方便学习观看；</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8、支持与督导巡课系统对接，实现转写内容、转写分析报告与督导评课数据同步呈现；</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4AE0F0F5">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套</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354EED61">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1 </w:t>
            </w:r>
          </w:p>
        </w:tc>
      </w:tr>
      <w:tr w14:paraId="0018C348">
        <w:tblPrEx>
          <w:tblCellMar>
            <w:top w:w="0" w:type="dxa"/>
            <w:left w:w="108" w:type="dxa"/>
            <w:bottom w:w="0" w:type="dxa"/>
            <w:right w:w="108" w:type="dxa"/>
          </w:tblCellMar>
        </w:tblPrEx>
        <w:trPr>
          <w:trHeight w:val="240" w:hRule="atLeast"/>
        </w:trPr>
        <w:tc>
          <w:tcPr>
            <w:tcW w:w="303" w:type="pct"/>
            <w:tcBorders>
              <w:top w:val="single" w:color="000000" w:sz="4" w:space="0"/>
              <w:left w:val="single" w:color="000000" w:sz="4" w:space="0"/>
              <w:bottom w:val="single" w:color="000000" w:sz="4" w:space="0"/>
              <w:right w:val="single" w:color="000000" w:sz="4" w:space="0"/>
            </w:tcBorders>
            <w:noWrap w:val="0"/>
            <w:vAlign w:val="center"/>
          </w:tcPr>
          <w:p w14:paraId="31B23492">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36</w:t>
            </w:r>
          </w:p>
        </w:tc>
        <w:tc>
          <w:tcPr>
            <w:tcW w:w="728" w:type="pct"/>
            <w:tcBorders>
              <w:top w:val="single" w:color="000000" w:sz="4" w:space="0"/>
              <w:left w:val="single" w:color="000000" w:sz="4" w:space="0"/>
              <w:bottom w:val="single" w:color="000000" w:sz="4" w:space="0"/>
              <w:right w:val="single" w:color="000000" w:sz="4" w:space="0"/>
            </w:tcBorders>
            <w:noWrap w:val="0"/>
            <w:vAlign w:val="center"/>
          </w:tcPr>
          <w:p w14:paraId="21AD5C6E">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稳压器</w:t>
            </w:r>
          </w:p>
        </w:tc>
        <w:tc>
          <w:tcPr>
            <w:tcW w:w="3165" w:type="pct"/>
            <w:tcBorders>
              <w:top w:val="single" w:color="000000" w:sz="4" w:space="0"/>
              <w:left w:val="single" w:color="000000" w:sz="4" w:space="0"/>
              <w:bottom w:val="single" w:color="000000" w:sz="4" w:space="0"/>
              <w:right w:val="single" w:color="000000" w:sz="4" w:space="0"/>
            </w:tcBorders>
            <w:noWrap w:val="0"/>
            <w:vAlign w:val="center"/>
          </w:tcPr>
          <w:p w14:paraId="5738BF19">
            <w:pPr>
              <w:keepNext w:val="0"/>
              <w:keepLines w:val="0"/>
              <w:widowControl/>
              <w:suppressLineNumbers w:val="0"/>
              <w:jc w:val="left"/>
              <w:textAlignment w:val="center"/>
              <w:rPr>
                <w:rFonts w:hint="eastAsia" w:ascii="宋体" w:hAnsi="宋体" w:eastAsia="宋体" w:cs="宋体"/>
                <w:color w:val="auto"/>
                <w:sz w:val="18"/>
                <w:szCs w:val="18"/>
              </w:rPr>
            </w:pPr>
            <w:r>
              <w:rPr>
                <w:rFonts w:hint="eastAsia" w:ascii="宋体" w:hAnsi="宋体" w:eastAsia="宋体" w:cs="宋体"/>
                <w:i w:val="0"/>
                <w:iCs w:val="0"/>
                <w:color w:val="auto"/>
                <w:kern w:val="0"/>
                <w:sz w:val="18"/>
                <w:szCs w:val="18"/>
                <w:u w:val="none"/>
                <w:lang w:val="en-US" w:eastAsia="zh-CN" w:bidi="ar"/>
              </w:rPr>
              <w:t>输入电压范围：三相380VAC士25%；输出电压：三相380VAC士2%；</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三相参数技术:具有良好的输入缺项保护；</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应变时间：10-40ms(毫秒)；</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抗雷击：6000Vpp(10μS/700μS)；</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短路保护：负载短路，输出电压为零；</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效率：≥98%；</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功率因数：不小于 0.95；</w:t>
            </w:r>
            <w:r>
              <w:rPr>
                <w:rFonts w:hint="eastAsia" w:ascii="宋体" w:hAnsi="宋体" w:eastAsia="宋体" w:cs="宋体"/>
                <w:i w:val="0"/>
                <w:iCs w:val="0"/>
                <w:color w:val="auto"/>
                <w:kern w:val="0"/>
                <w:sz w:val="18"/>
                <w:szCs w:val="18"/>
                <w:u w:val="none"/>
                <w:lang w:val="en-US" w:eastAsia="zh-CN" w:bidi="ar"/>
              </w:rPr>
              <w:br w:type="textWrapping"/>
            </w:r>
            <w:r>
              <w:rPr>
                <w:rFonts w:hint="eastAsia" w:ascii="宋体" w:hAnsi="宋体" w:eastAsia="宋体" w:cs="宋体"/>
                <w:i w:val="0"/>
                <w:iCs w:val="0"/>
                <w:color w:val="auto"/>
                <w:kern w:val="0"/>
                <w:sz w:val="18"/>
                <w:szCs w:val="18"/>
                <w:u w:val="none"/>
                <w:lang w:val="en-US" w:eastAsia="zh-CN" w:bidi="ar"/>
              </w:rPr>
              <w:t>平均无故障时间：MTBF&gt;100,000小时。</w:t>
            </w:r>
          </w:p>
        </w:tc>
        <w:tc>
          <w:tcPr>
            <w:tcW w:w="395" w:type="pct"/>
            <w:tcBorders>
              <w:top w:val="single" w:color="000000" w:sz="4" w:space="0"/>
              <w:left w:val="single" w:color="000000" w:sz="4" w:space="0"/>
              <w:bottom w:val="single" w:color="000000" w:sz="4" w:space="0"/>
              <w:right w:val="single" w:color="000000" w:sz="4" w:space="0"/>
            </w:tcBorders>
            <w:noWrap w:val="0"/>
            <w:vAlign w:val="center"/>
          </w:tcPr>
          <w:p w14:paraId="5692BB1E">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台</w:t>
            </w:r>
          </w:p>
        </w:tc>
        <w:tc>
          <w:tcPr>
            <w:tcW w:w="405" w:type="pct"/>
            <w:tcBorders>
              <w:top w:val="single" w:color="000000" w:sz="4" w:space="0"/>
              <w:left w:val="single" w:color="000000" w:sz="4" w:space="0"/>
              <w:bottom w:val="single" w:color="000000" w:sz="4" w:space="0"/>
              <w:right w:val="single" w:color="000000" w:sz="4" w:space="0"/>
            </w:tcBorders>
            <w:noWrap w:val="0"/>
            <w:vAlign w:val="center"/>
          </w:tcPr>
          <w:p w14:paraId="1C6A8985">
            <w:pPr>
              <w:widowControl/>
              <w:jc w:val="center"/>
              <w:textAlignment w:val="center"/>
              <w:rPr>
                <w:rFonts w:hint="eastAsia" w:ascii="宋体" w:hAnsi="宋体" w:eastAsia="宋体" w:cs="宋体"/>
                <w:color w:val="auto"/>
                <w:sz w:val="18"/>
                <w:szCs w:val="18"/>
              </w:rPr>
            </w:pPr>
            <w:r>
              <w:rPr>
                <w:rFonts w:hint="eastAsia" w:ascii="宋体" w:hAnsi="宋体" w:eastAsia="宋体" w:cs="宋体"/>
                <w:color w:val="auto"/>
                <w:kern w:val="0"/>
                <w:sz w:val="18"/>
                <w:szCs w:val="18"/>
                <w:lang w:bidi="ar"/>
              </w:rPr>
              <w:t xml:space="preserve">2 </w:t>
            </w:r>
          </w:p>
        </w:tc>
      </w:tr>
    </w:tbl>
    <w:p w14:paraId="4BAA200A">
      <w:pPr>
        <w:rPr>
          <w:rFonts w:hint="eastAsia" w:eastAsia="宋体"/>
          <w:lang w:eastAsia="zh-CN"/>
        </w:rPr>
      </w:pPr>
    </w:p>
    <w:p w14:paraId="2169608D"/>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B0B74">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FECB5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4EFECB5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454CD3"/>
    <w:rsid w:val="20454CD3"/>
    <w:rsid w:val="3DA2472E"/>
    <w:rsid w:val="3E2E1F7E"/>
    <w:rsid w:val="4BB327EE"/>
    <w:rsid w:val="6C144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8"/>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20038</Words>
  <Characters>21916</Characters>
  <Lines>0</Lines>
  <Paragraphs>0</Paragraphs>
  <TotalTime>1</TotalTime>
  <ScaleCrop>false</ScaleCrop>
  <LinksUpToDate>false</LinksUpToDate>
  <CharactersWithSpaces>22464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2025-08-27T09:33:00Z</dcterms:created>
  <dc:creator>招标中心</dc:creator>
  <cp:lastModifiedBy>招标中心</cp:lastModifiedBy>
  <dcterms:modified xsi:type="dcterms:W3CDTF">2025-09-02T04:45:18Z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71BF27A38F6F46F1A4B598F38B0B446B_11</vt:lpwstr>
  </property>
  <property fmtid="{D5CDD505-2E9C-101B-9397-08002B2CF9AE}" pid="4" name="KSOTemplateDocerSaveRecord">
    <vt:lpwstr>eyJoZGlkIjoiODJlM2RmOWQzZmQ0YTJjZTZhNDhjMWIyZmUxNGU2NTAiLCJ1c2VySWQiOiIxNTk1MDQ5MjkwIn0=</vt:lpwstr>
  </property>
</Properties>
</file>